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71F1" w14:textId="77777777" w:rsidR="001F0B4A" w:rsidRPr="00E94D47" w:rsidRDefault="001F0B4A" w:rsidP="00E94D47">
      <w:pPr>
        <w:spacing w:line="240" w:lineRule="auto"/>
        <w:rPr>
          <w:rFonts w:ascii="Times New Roman" w:hAnsi="Times New Roman" w:cs="Times New Roman"/>
        </w:rPr>
      </w:pPr>
    </w:p>
    <w:p w14:paraId="2ACBFDF3" w14:textId="77777777" w:rsidR="001F0B4A" w:rsidRPr="00E94D47" w:rsidRDefault="001F0B4A" w:rsidP="00E94D47">
      <w:pPr>
        <w:spacing w:line="240" w:lineRule="auto"/>
        <w:jc w:val="center"/>
        <w:rPr>
          <w:rFonts w:ascii="Times New Roman" w:eastAsia="Times New Roman" w:hAnsi="Times New Roman" w:cs="Times New Roman"/>
          <w:b/>
          <w:sz w:val="28"/>
          <w:szCs w:val="28"/>
        </w:rPr>
      </w:pPr>
      <w:r w:rsidRPr="00E94D47">
        <w:rPr>
          <w:rFonts w:ascii="Times New Roman" w:eastAsia="inter" w:hAnsi="Times New Roman" w:cs="Times New Roman"/>
          <w:b/>
          <w:color w:val="000000"/>
          <w:sz w:val="28"/>
          <w:szCs w:val="28"/>
        </w:rPr>
        <w:t xml:space="preserve">Sharia Perspective on QRIS-Based Mosque Donations Funded by Conventional Credit Cards: An Analytical Study of Contracts and Validity in Fiqh </w:t>
      </w:r>
      <w:proofErr w:type="spellStart"/>
      <w:r w:rsidRPr="00E94D47">
        <w:rPr>
          <w:rFonts w:ascii="Times New Roman" w:eastAsia="inter" w:hAnsi="Times New Roman" w:cs="Times New Roman"/>
          <w:b/>
          <w:color w:val="000000"/>
          <w:sz w:val="28"/>
          <w:szCs w:val="28"/>
        </w:rPr>
        <w:t>Muamalah</w:t>
      </w:r>
      <w:proofErr w:type="spellEnd"/>
    </w:p>
    <w:p w14:paraId="6EDA0D1F" w14:textId="77777777" w:rsidR="001F0B4A" w:rsidRPr="00E94D47" w:rsidRDefault="001F0B4A" w:rsidP="00E94D47">
      <w:pPr>
        <w:spacing w:line="240" w:lineRule="auto"/>
        <w:jc w:val="center"/>
        <w:rPr>
          <w:rFonts w:ascii="Times New Roman" w:eastAsia="Times New Roman" w:hAnsi="Times New Roman" w:cs="Times New Roman"/>
          <w:b/>
        </w:rPr>
      </w:pPr>
    </w:p>
    <w:p w14:paraId="3E3640CB" w14:textId="24953052" w:rsidR="001F0B4A" w:rsidRPr="00E94D47" w:rsidRDefault="001F0B4A" w:rsidP="00E94D47">
      <w:pPr>
        <w:spacing w:line="240" w:lineRule="auto"/>
        <w:ind w:left="20"/>
        <w:jc w:val="center"/>
        <w:rPr>
          <w:rFonts w:ascii="Times New Roman" w:eastAsia="Times New Roman" w:hAnsi="Times New Roman" w:cs="Times New Roman"/>
          <w:b/>
          <w:bCs/>
        </w:rPr>
      </w:pPr>
      <w:bookmarkStart w:id="0" w:name="_heading=h.r0n5occueds1" w:colFirst="0" w:colLast="0"/>
      <w:bookmarkEnd w:id="0"/>
      <w:r w:rsidRPr="00E94D47">
        <w:rPr>
          <w:rFonts w:ascii="Times New Roman" w:eastAsia="Times New Roman" w:hAnsi="Times New Roman" w:cs="Times New Roman"/>
          <w:b/>
          <w:bCs/>
        </w:rPr>
        <w:t xml:space="preserve">Dwi Setyo </w:t>
      </w:r>
      <w:proofErr w:type="spellStart"/>
      <w:r w:rsidRPr="00E94D47">
        <w:rPr>
          <w:rFonts w:ascii="Times New Roman" w:eastAsia="Times New Roman" w:hAnsi="Times New Roman" w:cs="Times New Roman"/>
          <w:b/>
          <w:bCs/>
        </w:rPr>
        <w:t>Wiratomo</w:t>
      </w:r>
      <w:proofErr w:type="spellEnd"/>
    </w:p>
    <w:p w14:paraId="0B22A67B" w14:textId="13504592" w:rsidR="001F0B4A" w:rsidRPr="00E94D47" w:rsidRDefault="001F0B4A" w:rsidP="00E94D47">
      <w:pPr>
        <w:spacing w:line="240" w:lineRule="auto"/>
        <w:ind w:left="20"/>
        <w:jc w:val="center"/>
        <w:rPr>
          <w:rFonts w:ascii="Times New Roman" w:eastAsia="Times New Roman" w:hAnsi="Times New Roman" w:cs="Times New Roman"/>
        </w:rPr>
      </w:pPr>
      <w:proofErr w:type="spellStart"/>
      <w:r w:rsidRPr="00E94D47">
        <w:rPr>
          <w:rFonts w:ascii="Times New Roman" w:eastAsia="Times New Roman" w:hAnsi="Times New Roman" w:cs="Times New Roman"/>
        </w:rPr>
        <w:t>Paramadina</w:t>
      </w:r>
      <w:proofErr w:type="spellEnd"/>
      <w:r w:rsidR="00E94D47">
        <w:rPr>
          <w:rFonts w:ascii="Times New Roman" w:eastAsia="Times New Roman" w:hAnsi="Times New Roman" w:cs="Times New Roman"/>
        </w:rPr>
        <w:t xml:space="preserve"> University</w:t>
      </w:r>
      <w:r w:rsidRPr="00E94D47">
        <w:rPr>
          <w:rFonts w:ascii="Times New Roman" w:eastAsia="Times New Roman" w:hAnsi="Times New Roman" w:cs="Times New Roman"/>
        </w:rPr>
        <w:t>,</w:t>
      </w:r>
      <w:r w:rsidR="00E94D47">
        <w:rPr>
          <w:rFonts w:ascii="Times New Roman" w:eastAsia="Times New Roman" w:hAnsi="Times New Roman" w:cs="Times New Roman"/>
        </w:rPr>
        <w:t xml:space="preserve"> </w:t>
      </w:r>
      <w:r w:rsidRPr="00E94D47">
        <w:rPr>
          <w:rFonts w:ascii="Times New Roman" w:eastAsia="Times New Roman" w:hAnsi="Times New Roman" w:cs="Times New Roman"/>
        </w:rPr>
        <w:t>Indonesia</w:t>
      </w:r>
    </w:p>
    <w:p w14:paraId="57642597" w14:textId="63CDACB7" w:rsidR="001F0B4A" w:rsidRPr="00E94D47" w:rsidRDefault="001F0B4A" w:rsidP="00E94D47">
      <w:pPr>
        <w:spacing w:line="240" w:lineRule="auto"/>
        <w:ind w:left="20"/>
        <w:jc w:val="center"/>
        <w:rPr>
          <w:rFonts w:ascii="Times New Roman" w:eastAsia="Times New Roman" w:hAnsi="Times New Roman" w:cs="Times New Roman"/>
        </w:rPr>
      </w:pPr>
      <w:r w:rsidRPr="00E94D47">
        <w:rPr>
          <w:rFonts w:ascii="Times New Roman" w:eastAsia="Times New Roman" w:hAnsi="Times New Roman" w:cs="Times New Roman"/>
        </w:rPr>
        <w:t>dwi.setyo1@students.paramadina.ac.id</w:t>
      </w:r>
    </w:p>
    <w:p w14:paraId="5D4ABA04" w14:textId="77777777" w:rsidR="00E94D47" w:rsidRDefault="00E94D47" w:rsidP="00E94D47">
      <w:pPr>
        <w:pStyle w:val="Heading1"/>
        <w:spacing w:before="0" w:after="0" w:line="240" w:lineRule="auto"/>
        <w:jc w:val="center"/>
        <w:rPr>
          <w:rFonts w:ascii="Times New Roman" w:eastAsia="Times New Roman" w:hAnsi="Times New Roman" w:cs="Times New Roman"/>
          <w:b/>
          <w:sz w:val="22"/>
          <w:szCs w:val="22"/>
        </w:rPr>
      </w:pPr>
    </w:p>
    <w:p w14:paraId="3802F79C" w14:textId="4997BD6C" w:rsidR="001F0B4A" w:rsidRPr="00E94D47" w:rsidRDefault="001F0B4A" w:rsidP="00E94D47">
      <w:pPr>
        <w:pStyle w:val="Heading1"/>
        <w:spacing w:before="0" w:after="0" w:line="240" w:lineRule="auto"/>
        <w:jc w:val="center"/>
        <w:rPr>
          <w:rFonts w:ascii="Times New Roman" w:eastAsia="Times New Roman" w:hAnsi="Times New Roman" w:cs="Times New Roman"/>
          <w:b/>
          <w:sz w:val="22"/>
          <w:szCs w:val="22"/>
        </w:rPr>
      </w:pPr>
      <w:r w:rsidRPr="00E94D47">
        <w:rPr>
          <w:rFonts w:ascii="Times New Roman" w:eastAsia="Times New Roman" w:hAnsi="Times New Roman" w:cs="Times New Roman"/>
          <w:b/>
          <w:sz w:val="22"/>
          <w:szCs w:val="22"/>
        </w:rPr>
        <w:t>Abstract</w:t>
      </w:r>
    </w:p>
    <w:p w14:paraId="64E1E8C5" w14:textId="16C66AB3" w:rsidR="001F0B4A" w:rsidRPr="00E94D47" w:rsidRDefault="001F0B4A" w:rsidP="00E94D47">
      <w:pPr>
        <w:spacing w:line="240" w:lineRule="auto"/>
        <w:jc w:val="both"/>
        <w:rPr>
          <w:rFonts w:ascii="Times New Roman" w:eastAsia="inter" w:hAnsi="Times New Roman" w:cs="Times New Roman"/>
          <w:color w:val="000000"/>
        </w:rPr>
      </w:pPr>
      <w:r w:rsidRPr="00E94D47">
        <w:rPr>
          <w:rFonts w:ascii="Times New Roman" w:eastAsia="inter" w:hAnsi="Times New Roman" w:cs="Times New Roman"/>
          <w:color w:val="000000"/>
        </w:rPr>
        <w:t xml:space="preserve">This research explores the </w:t>
      </w:r>
      <w:r w:rsidR="005E6FB2" w:rsidRPr="00E94D47">
        <w:rPr>
          <w:rFonts w:ascii="Times New Roman" w:eastAsia="inter" w:hAnsi="Times New Roman" w:cs="Times New Roman"/>
          <w:color w:val="000000"/>
        </w:rPr>
        <w:t xml:space="preserve">Sharia </w:t>
      </w:r>
      <w:r w:rsidRPr="00E94D47">
        <w:rPr>
          <w:rFonts w:ascii="Times New Roman" w:eastAsia="inter" w:hAnsi="Times New Roman" w:cs="Times New Roman"/>
          <w:color w:val="000000"/>
        </w:rPr>
        <w:t xml:space="preserve">perspective on using QRIS as a digital payment platform for mosque donations, especially when funds come from conventional credit cards. As Indonesian mosques increasingly embrace QRIS to support digital philanthropy, ethical and legal questions emerge about transaction validity under Islamic law, particularly regarding </w:t>
      </w:r>
      <w:proofErr w:type="spellStart"/>
      <w:r w:rsidRPr="00E94D47">
        <w:rPr>
          <w:rFonts w:ascii="Times New Roman" w:eastAsia="inter" w:hAnsi="Times New Roman" w:cs="Times New Roman"/>
          <w:color w:val="000000"/>
        </w:rPr>
        <w:t>riba</w:t>
      </w:r>
      <w:proofErr w:type="spellEnd"/>
      <w:r w:rsidRPr="00E94D47">
        <w:rPr>
          <w:rFonts w:ascii="Times New Roman" w:eastAsia="inter" w:hAnsi="Times New Roman" w:cs="Times New Roman"/>
          <w:color w:val="000000"/>
        </w:rPr>
        <w:t xml:space="preserve"> involvement and public trust. Using a </w:t>
      </w:r>
      <w:proofErr w:type="spellStart"/>
      <w:r w:rsidRPr="00E94D47">
        <w:rPr>
          <w:rFonts w:ascii="Times New Roman" w:eastAsia="inter" w:hAnsi="Times New Roman" w:cs="Times New Roman"/>
          <w:color w:val="000000"/>
        </w:rPr>
        <w:t>fiqh</w:t>
      </w:r>
      <w:proofErr w:type="spellEnd"/>
      <w:r w:rsidRPr="00E94D47">
        <w:rPr>
          <w:rFonts w:ascii="Times New Roman" w:eastAsia="inter" w:hAnsi="Times New Roman" w:cs="Times New Roman"/>
          <w:color w:val="000000"/>
        </w:rPr>
        <w:t xml:space="preserve"> </w:t>
      </w:r>
      <w:proofErr w:type="spellStart"/>
      <w:r w:rsidRPr="00E94D47">
        <w:rPr>
          <w:rFonts w:ascii="Times New Roman" w:eastAsia="inter" w:hAnsi="Times New Roman" w:cs="Times New Roman"/>
          <w:color w:val="000000"/>
        </w:rPr>
        <w:t>muamalah</w:t>
      </w:r>
      <w:proofErr w:type="spellEnd"/>
      <w:r w:rsidRPr="00E94D47">
        <w:rPr>
          <w:rFonts w:ascii="Times New Roman" w:eastAsia="inter" w:hAnsi="Times New Roman" w:cs="Times New Roman"/>
          <w:color w:val="000000"/>
        </w:rPr>
        <w:t xml:space="preserve"> approach, the study analyzes the contractual structure behind QRIS transactions funded by conventional credit cards through doctrinal legal analysis, DSN-MUI fatwa review, and semi-structured interviews with mosque administrators and Islamic finance scholars. Findings reveal that while QRIS improves convenience and transparency, conventional credit cards introduce </w:t>
      </w:r>
      <w:proofErr w:type="spellStart"/>
      <w:r w:rsidRPr="00E94D47">
        <w:rPr>
          <w:rFonts w:ascii="Times New Roman" w:eastAsia="inter" w:hAnsi="Times New Roman" w:cs="Times New Roman"/>
          <w:color w:val="000000"/>
        </w:rPr>
        <w:t>riba</w:t>
      </w:r>
      <w:proofErr w:type="spellEnd"/>
      <w:r w:rsidRPr="00E94D47">
        <w:rPr>
          <w:rFonts w:ascii="Times New Roman" w:eastAsia="inter" w:hAnsi="Times New Roman" w:cs="Times New Roman"/>
          <w:color w:val="000000"/>
        </w:rPr>
        <w:t xml:space="preserve"> risks and sharia compliance uncertainty. Existing fatwas permit such payments only when no interest is charged, highlighting the need for digital systems ensuring transactions remain halal. The study concludes that stronger sharia governance, transparency, and public awareness are essential for maintaining ethical and trustworthy donation practices in the digital era. This research contributes to sustainable Islamic business practices, responsible digital finance, and ethical philanthropy, offering practical recommendations for mosque leaders and policymakers to harmonize technology with Islamic law while supporting the Sustainable Development Goals (SDGs).</w:t>
      </w:r>
    </w:p>
    <w:p w14:paraId="49ABCA3F" w14:textId="77777777" w:rsidR="001F0B4A" w:rsidRPr="00E94D47" w:rsidRDefault="001F0B4A" w:rsidP="00E94D47">
      <w:pPr>
        <w:spacing w:line="240" w:lineRule="auto"/>
        <w:jc w:val="both"/>
        <w:rPr>
          <w:rFonts w:ascii="Times New Roman" w:eastAsia="inter" w:hAnsi="Times New Roman" w:cs="Times New Roman"/>
          <w:color w:val="000000"/>
          <w:lang w:val="en-ID"/>
        </w:rPr>
      </w:pPr>
    </w:p>
    <w:p w14:paraId="5E7AB651" w14:textId="0D065D4F" w:rsidR="001F0B4A" w:rsidRPr="00E94D47" w:rsidRDefault="001F0B4A" w:rsidP="00E94D47">
      <w:pPr>
        <w:pStyle w:val="Heading1"/>
        <w:spacing w:before="0" w:after="0" w:line="240" w:lineRule="auto"/>
        <w:jc w:val="both"/>
        <w:rPr>
          <w:rFonts w:ascii="Times New Roman" w:eastAsia="Times New Roman" w:hAnsi="Times New Roman" w:cs="Times New Roman"/>
          <w:sz w:val="22"/>
          <w:szCs w:val="22"/>
        </w:rPr>
      </w:pPr>
      <w:r w:rsidRPr="00E94D47">
        <w:rPr>
          <w:rFonts w:ascii="Times New Roman" w:eastAsia="Times New Roman" w:hAnsi="Times New Roman" w:cs="Times New Roman"/>
          <w:b/>
          <w:sz w:val="22"/>
          <w:szCs w:val="22"/>
        </w:rPr>
        <w:t>Keywords</w:t>
      </w:r>
      <w:r w:rsidRPr="00E94D47">
        <w:rPr>
          <w:rFonts w:ascii="Times New Roman" w:eastAsia="Times New Roman" w:hAnsi="Times New Roman" w:cs="Times New Roman"/>
          <w:sz w:val="22"/>
          <w:szCs w:val="22"/>
        </w:rPr>
        <w:t xml:space="preserve">:  </w:t>
      </w:r>
      <w:r w:rsidR="005E6FB2" w:rsidRPr="00E94D47">
        <w:rPr>
          <w:rFonts w:ascii="Times New Roman" w:eastAsia="Times New Roman" w:hAnsi="Times New Roman" w:cs="Times New Roman"/>
          <w:sz w:val="22"/>
          <w:szCs w:val="22"/>
        </w:rPr>
        <w:t xml:space="preserve">credit card, </w:t>
      </w:r>
      <w:proofErr w:type="spellStart"/>
      <w:r w:rsidR="005E6FB2" w:rsidRPr="00E94D47">
        <w:rPr>
          <w:rFonts w:ascii="Times New Roman" w:eastAsia="Times New Roman" w:hAnsi="Times New Roman" w:cs="Times New Roman"/>
          <w:sz w:val="22"/>
          <w:szCs w:val="22"/>
        </w:rPr>
        <w:t>fiqh</w:t>
      </w:r>
      <w:proofErr w:type="spellEnd"/>
      <w:r w:rsidR="005E6FB2" w:rsidRPr="00E94D47">
        <w:rPr>
          <w:rFonts w:ascii="Times New Roman" w:eastAsia="Times New Roman" w:hAnsi="Times New Roman" w:cs="Times New Roman"/>
          <w:sz w:val="22"/>
          <w:szCs w:val="22"/>
        </w:rPr>
        <w:t xml:space="preserve"> </w:t>
      </w:r>
      <w:proofErr w:type="spellStart"/>
      <w:r w:rsidR="005E6FB2" w:rsidRPr="00E94D47">
        <w:rPr>
          <w:rFonts w:ascii="Times New Roman" w:eastAsia="Times New Roman" w:hAnsi="Times New Roman" w:cs="Times New Roman"/>
          <w:sz w:val="22"/>
          <w:szCs w:val="22"/>
        </w:rPr>
        <w:t>muamalah</w:t>
      </w:r>
      <w:proofErr w:type="spellEnd"/>
      <w:r w:rsidR="005E6FB2" w:rsidRPr="00E94D47">
        <w:rPr>
          <w:rFonts w:ascii="Times New Roman" w:eastAsia="Times New Roman" w:hAnsi="Times New Roman" w:cs="Times New Roman"/>
          <w:sz w:val="22"/>
          <w:szCs w:val="22"/>
        </w:rPr>
        <w:t>, mosque donation</w:t>
      </w:r>
      <w:r w:rsidRPr="00E94D47">
        <w:rPr>
          <w:rFonts w:ascii="Times New Roman" w:eastAsia="Times New Roman" w:hAnsi="Times New Roman" w:cs="Times New Roman"/>
          <w:sz w:val="22"/>
          <w:szCs w:val="22"/>
        </w:rPr>
        <w:t xml:space="preserve">, QRIS, </w:t>
      </w:r>
      <w:r w:rsidR="005E6FB2" w:rsidRPr="00E94D47">
        <w:rPr>
          <w:rFonts w:ascii="Times New Roman" w:eastAsia="Times New Roman" w:hAnsi="Times New Roman" w:cs="Times New Roman"/>
          <w:sz w:val="22"/>
          <w:szCs w:val="22"/>
        </w:rPr>
        <w:t>sharia compliance</w:t>
      </w:r>
    </w:p>
    <w:p w14:paraId="24B11CB1" w14:textId="77777777" w:rsidR="001F0B4A" w:rsidRPr="00E94D47" w:rsidRDefault="001F0B4A" w:rsidP="00E94D47">
      <w:pPr>
        <w:spacing w:line="240" w:lineRule="auto"/>
        <w:jc w:val="center"/>
        <w:rPr>
          <w:rFonts w:ascii="Times New Roman" w:eastAsia="Times New Roman" w:hAnsi="Times New Roman" w:cs="Times New Roman"/>
          <w:b/>
        </w:rPr>
      </w:pPr>
    </w:p>
    <w:p w14:paraId="39A66EEB" w14:textId="77777777" w:rsidR="001F0B4A" w:rsidRDefault="001F0B4A" w:rsidP="00E94D47">
      <w:pPr>
        <w:spacing w:line="240" w:lineRule="auto"/>
        <w:jc w:val="center"/>
        <w:rPr>
          <w:rFonts w:ascii="Times New Roman" w:hAnsi="Times New Roman" w:cs="Times New Roman"/>
        </w:rPr>
      </w:pPr>
    </w:p>
    <w:p w14:paraId="3F665F0E" w14:textId="77777777" w:rsidR="00E94D47" w:rsidRDefault="00E94D47" w:rsidP="00E94D47">
      <w:pPr>
        <w:spacing w:line="240" w:lineRule="auto"/>
        <w:jc w:val="center"/>
        <w:rPr>
          <w:rFonts w:ascii="Times New Roman" w:hAnsi="Times New Roman" w:cs="Times New Roman"/>
        </w:rPr>
      </w:pPr>
    </w:p>
    <w:p w14:paraId="63D7393A" w14:textId="77777777" w:rsidR="00E94D47" w:rsidRDefault="00E94D47" w:rsidP="00E94D47">
      <w:pPr>
        <w:spacing w:line="240" w:lineRule="auto"/>
        <w:jc w:val="center"/>
        <w:rPr>
          <w:rFonts w:ascii="Times New Roman" w:hAnsi="Times New Roman" w:cs="Times New Roman"/>
        </w:rPr>
      </w:pPr>
    </w:p>
    <w:p w14:paraId="74BABD60" w14:textId="77777777" w:rsidR="00E94D47" w:rsidRDefault="00E94D47" w:rsidP="00E94D47">
      <w:pPr>
        <w:spacing w:line="240" w:lineRule="auto"/>
        <w:jc w:val="center"/>
        <w:rPr>
          <w:rFonts w:ascii="Times New Roman" w:hAnsi="Times New Roman" w:cs="Times New Roman"/>
        </w:rPr>
      </w:pPr>
    </w:p>
    <w:p w14:paraId="08473632" w14:textId="77777777" w:rsidR="00E94D47" w:rsidRDefault="00E94D47" w:rsidP="00E94D47">
      <w:pPr>
        <w:spacing w:line="240" w:lineRule="auto"/>
        <w:jc w:val="center"/>
        <w:rPr>
          <w:rFonts w:ascii="Times New Roman" w:hAnsi="Times New Roman" w:cs="Times New Roman"/>
        </w:rPr>
      </w:pPr>
    </w:p>
    <w:p w14:paraId="4F01274F" w14:textId="77777777" w:rsidR="00E94D47" w:rsidRDefault="00E94D47" w:rsidP="00E94D47">
      <w:pPr>
        <w:spacing w:line="240" w:lineRule="auto"/>
        <w:jc w:val="center"/>
        <w:rPr>
          <w:rFonts w:ascii="Times New Roman" w:hAnsi="Times New Roman" w:cs="Times New Roman"/>
        </w:rPr>
      </w:pPr>
    </w:p>
    <w:p w14:paraId="1770745E" w14:textId="77777777" w:rsidR="00E94D47" w:rsidRDefault="00E94D47" w:rsidP="00E94D47">
      <w:pPr>
        <w:spacing w:line="240" w:lineRule="auto"/>
        <w:jc w:val="center"/>
        <w:rPr>
          <w:rFonts w:ascii="Times New Roman" w:hAnsi="Times New Roman" w:cs="Times New Roman"/>
        </w:rPr>
      </w:pPr>
    </w:p>
    <w:p w14:paraId="6A25BC72" w14:textId="77777777" w:rsidR="00E94D47" w:rsidRDefault="00E94D47" w:rsidP="00E94D47">
      <w:pPr>
        <w:spacing w:line="240" w:lineRule="auto"/>
        <w:jc w:val="center"/>
        <w:rPr>
          <w:rFonts w:ascii="Times New Roman" w:hAnsi="Times New Roman" w:cs="Times New Roman"/>
        </w:rPr>
      </w:pPr>
    </w:p>
    <w:p w14:paraId="60949EFD" w14:textId="77777777" w:rsidR="00E94D47" w:rsidRDefault="00E94D47" w:rsidP="00E94D47">
      <w:pPr>
        <w:spacing w:line="240" w:lineRule="auto"/>
        <w:jc w:val="center"/>
        <w:rPr>
          <w:rFonts w:ascii="Times New Roman" w:hAnsi="Times New Roman" w:cs="Times New Roman"/>
        </w:rPr>
      </w:pPr>
    </w:p>
    <w:p w14:paraId="74D6FCF0" w14:textId="77777777" w:rsidR="00E94D47" w:rsidRDefault="00E94D47" w:rsidP="00E94D47">
      <w:pPr>
        <w:spacing w:line="240" w:lineRule="auto"/>
        <w:jc w:val="center"/>
        <w:rPr>
          <w:rFonts w:ascii="Times New Roman" w:hAnsi="Times New Roman" w:cs="Times New Roman"/>
        </w:rPr>
      </w:pPr>
    </w:p>
    <w:p w14:paraId="360ECB9D" w14:textId="77777777" w:rsidR="00E94D47" w:rsidRDefault="00E94D47" w:rsidP="00E94D47">
      <w:pPr>
        <w:spacing w:line="240" w:lineRule="auto"/>
        <w:jc w:val="center"/>
        <w:rPr>
          <w:rFonts w:ascii="Times New Roman" w:hAnsi="Times New Roman" w:cs="Times New Roman"/>
        </w:rPr>
      </w:pPr>
    </w:p>
    <w:p w14:paraId="312FD9E4" w14:textId="77777777" w:rsidR="00E94D47" w:rsidRDefault="00E94D47" w:rsidP="00E94D47">
      <w:pPr>
        <w:spacing w:line="240" w:lineRule="auto"/>
        <w:jc w:val="center"/>
        <w:rPr>
          <w:rFonts w:ascii="Times New Roman" w:hAnsi="Times New Roman" w:cs="Times New Roman"/>
        </w:rPr>
      </w:pPr>
    </w:p>
    <w:p w14:paraId="4DF84E09" w14:textId="77777777" w:rsidR="00E94D47" w:rsidRDefault="00E94D47" w:rsidP="00E94D47">
      <w:pPr>
        <w:spacing w:line="240" w:lineRule="auto"/>
        <w:jc w:val="center"/>
        <w:rPr>
          <w:rFonts w:ascii="Times New Roman" w:hAnsi="Times New Roman" w:cs="Times New Roman"/>
        </w:rPr>
      </w:pPr>
    </w:p>
    <w:p w14:paraId="465C8896" w14:textId="77777777" w:rsidR="00E94D47" w:rsidRDefault="00E94D47" w:rsidP="00E94D47">
      <w:pPr>
        <w:spacing w:line="240" w:lineRule="auto"/>
        <w:jc w:val="center"/>
        <w:rPr>
          <w:rFonts w:ascii="Times New Roman" w:hAnsi="Times New Roman" w:cs="Times New Roman"/>
        </w:rPr>
      </w:pPr>
    </w:p>
    <w:p w14:paraId="3B28698E" w14:textId="77777777" w:rsidR="00E94D47" w:rsidRDefault="00E94D47" w:rsidP="00E94D47">
      <w:pPr>
        <w:spacing w:line="240" w:lineRule="auto"/>
        <w:jc w:val="center"/>
        <w:rPr>
          <w:rFonts w:ascii="Times New Roman" w:hAnsi="Times New Roman" w:cs="Times New Roman"/>
        </w:rPr>
      </w:pPr>
    </w:p>
    <w:p w14:paraId="237DF9BE" w14:textId="77777777" w:rsidR="00E94D47" w:rsidRDefault="00E94D47" w:rsidP="00E94D47">
      <w:pPr>
        <w:spacing w:line="240" w:lineRule="auto"/>
        <w:jc w:val="center"/>
        <w:rPr>
          <w:rFonts w:ascii="Times New Roman" w:hAnsi="Times New Roman" w:cs="Times New Roman"/>
        </w:rPr>
      </w:pPr>
    </w:p>
    <w:p w14:paraId="3CF86A8D" w14:textId="77777777" w:rsidR="00E94D47" w:rsidRDefault="00E94D47" w:rsidP="00E94D47">
      <w:pPr>
        <w:spacing w:line="240" w:lineRule="auto"/>
        <w:jc w:val="center"/>
        <w:rPr>
          <w:rFonts w:ascii="Times New Roman" w:hAnsi="Times New Roman" w:cs="Times New Roman"/>
        </w:rPr>
      </w:pPr>
    </w:p>
    <w:p w14:paraId="5A33804C" w14:textId="77777777" w:rsidR="00E94D47" w:rsidRDefault="00E94D47" w:rsidP="00E94D47">
      <w:pPr>
        <w:spacing w:line="240" w:lineRule="auto"/>
        <w:jc w:val="center"/>
        <w:rPr>
          <w:rFonts w:ascii="Times New Roman" w:hAnsi="Times New Roman" w:cs="Times New Roman"/>
        </w:rPr>
      </w:pPr>
    </w:p>
    <w:p w14:paraId="664B1B08" w14:textId="77777777" w:rsidR="00E94D47" w:rsidRDefault="00E94D47" w:rsidP="00E94D47">
      <w:pPr>
        <w:spacing w:line="240" w:lineRule="auto"/>
        <w:jc w:val="center"/>
        <w:rPr>
          <w:rFonts w:ascii="Times New Roman" w:hAnsi="Times New Roman" w:cs="Times New Roman"/>
        </w:rPr>
      </w:pPr>
    </w:p>
    <w:p w14:paraId="6F2F31D5" w14:textId="77777777" w:rsidR="00E94D47" w:rsidRDefault="00E94D47" w:rsidP="00E94D47">
      <w:pPr>
        <w:spacing w:line="240" w:lineRule="auto"/>
        <w:jc w:val="center"/>
        <w:rPr>
          <w:rFonts w:ascii="Times New Roman" w:hAnsi="Times New Roman" w:cs="Times New Roman"/>
        </w:rPr>
      </w:pPr>
    </w:p>
    <w:p w14:paraId="52CE34B6" w14:textId="77777777" w:rsidR="00E94D47" w:rsidRDefault="00E94D47" w:rsidP="00E94D47">
      <w:pPr>
        <w:spacing w:line="240" w:lineRule="auto"/>
        <w:jc w:val="center"/>
        <w:rPr>
          <w:rFonts w:ascii="Times New Roman" w:hAnsi="Times New Roman" w:cs="Times New Roman"/>
        </w:rPr>
      </w:pPr>
    </w:p>
    <w:p w14:paraId="5412769C" w14:textId="77777777" w:rsidR="005E6FB2" w:rsidRPr="00E94D47" w:rsidRDefault="001F0B4A" w:rsidP="00E94D47">
      <w:pPr>
        <w:spacing w:line="240" w:lineRule="auto"/>
        <w:jc w:val="both"/>
        <w:rPr>
          <w:rFonts w:ascii="Times New Roman" w:eastAsia="Times New Roman" w:hAnsi="Times New Roman" w:cs="Times New Roman"/>
          <w:b/>
        </w:rPr>
      </w:pPr>
      <w:bookmarkStart w:id="1" w:name="_heading=h.2w1rr9ae9qzr" w:colFirst="0" w:colLast="0"/>
      <w:bookmarkEnd w:id="1"/>
      <w:r w:rsidRPr="00E94D47">
        <w:rPr>
          <w:rFonts w:ascii="Times New Roman" w:eastAsia="Times New Roman" w:hAnsi="Times New Roman" w:cs="Times New Roman"/>
          <w:b/>
        </w:rPr>
        <w:lastRenderedPageBreak/>
        <w:t>Introduction</w:t>
      </w:r>
    </w:p>
    <w:p w14:paraId="555B8F6C" w14:textId="54F81324" w:rsidR="00BB207B" w:rsidRPr="00E94D47" w:rsidRDefault="00BB207B"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The implementation of the Quick Response Code Indonesian Standard (QRIS) represents a regulatory initiative by Bank Indonesia to standardize digital payments and strengthen the national payment system. Introduced nationally in 2019, QRIS aims to enhance efficiency, interoperability, and financial inclusion across sectors, including social and religious institutions (Bank Indonesia, 2019). Recent data indicate a significant increase in QRIS adoption, with mosques increasingly utilizing QRIS to facilitate digital donations as part of broader Islamic philanthropic practices (Bank Indonesia, 2023).</w:t>
      </w:r>
    </w:p>
    <w:p w14:paraId="349A0537" w14:textId="77777777" w:rsidR="00BB207B" w:rsidRPr="00E94D47" w:rsidRDefault="00BB207B"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The use of QRIS for mosque donations reflects a growing reliance on digital payment instruments to improve accessibility and convenience for donors. Prior studies on Islamic digital philanthropy suggest that digital platforms can support fundraising efficiency and transparency (Latief, 2020; Huda et al., 2022). However, the integration of general-purpose payment instruments into religious donation mechanisms introduces normative concerns, particularly when donations processed via QRIS are funded through conventional credit cards.</w:t>
      </w:r>
    </w:p>
    <w:p w14:paraId="5F439BB8" w14:textId="60169D69" w:rsidR="000E1B31" w:rsidRPr="00E94D47" w:rsidRDefault="00BB207B"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From a regulatory standpoint, QRIS transactions fall under the payment system oversight of Bank Indonesia and consumer protection frameworks supervised by the </w:t>
      </w:r>
      <w:proofErr w:type="spellStart"/>
      <w:r w:rsidRPr="00E94D47">
        <w:rPr>
          <w:rFonts w:ascii="Times New Roman" w:eastAsia="Times New Roman" w:hAnsi="Times New Roman" w:cs="Times New Roman"/>
          <w:lang w:val="en-ID"/>
        </w:rPr>
        <w:t>Otoritas</w:t>
      </w:r>
      <w:proofErr w:type="spellEnd"/>
      <w:r w:rsidRPr="00E94D47">
        <w:rPr>
          <w:rFonts w:ascii="Times New Roman" w:eastAsia="Times New Roman" w:hAnsi="Times New Roman" w:cs="Times New Roman"/>
          <w:lang w:val="en-ID"/>
        </w:rPr>
        <w:t xml:space="preserve"> Jasa Keuangan. While these regulations govern technical and financial aspects of electronic transactions, they do not explicitly address </w:t>
      </w:r>
      <w:r w:rsidR="005E6FB2" w:rsidRPr="00E94D47">
        <w:rPr>
          <w:rFonts w:ascii="Times New Roman" w:eastAsia="Times New Roman" w:hAnsi="Times New Roman" w:cs="Times New Roman"/>
          <w:lang w:val="en-ID"/>
        </w:rPr>
        <w:t xml:space="preserve">Sharia </w:t>
      </w:r>
      <w:r w:rsidRPr="00E94D47">
        <w:rPr>
          <w:rFonts w:ascii="Times New Roman" w:eastAsia="Times New Roman" w:hAnsi="Times New Roman" w:cs="Times New Roman"/>
          <w:lang w:val="en-ID"/>
        </w:rPr>
        <w:t>compliance in the context of religious donations funded by interest-based credit instruments.</w:t>
      </w:r>
      <w:r w:rsidR="005E6FB2" w:rsidRPr="00E94D47">
        <w:rPr>
          <w:rFonts w:ascii="Times New Roman" w:eastAsia="Times New Roman" w:hAnsi="Times New Roman" w:cs="Times New Roman"/>
          <w:lang w:val="en-ID"/>
        </w:rPr>
        <w:t xml:space="preserve"> </w:t>
      </w:r>
      <w:r w:rsidR="000E1B31" w:rsidRPr="00E94D47">
        <w:rPr>
          <w:rFonts w:ascii="Times New Roman" w:eastAsia="Times New Roman" w:hAnsi="Times New Roman" w:cs="Times New Roman"/>
          <w:lang w:val="en-ID"/>
        </w:rPr>
        <w:t xml:space="preserve">Therefore, the core problem addressed in this study is whether mosque donations made via QRIS but funded by conventional credit cards can be considered valid under </w:t>
      </w:r>
      <w:proofErr w:type="spellStart"/>
      <w:r w:rsidR="000E1B31" w:rsidRPr="00E94D47">
        <w:rPr>
          <w:rFonts w:ascii="Times New Roman" w:eastAsia="Times New Roman" w:hAnsi="Times New Roman" w:cs="Times New Roman"/>
          <w:lang w:val="en-ID"/>
        </w:rPr>
        <w:t>fiqh</w:t>
      </w:r>
      <w:proofErr w:type="spellEnd"/>
      <w:r w:rsidR="000E1B31" w:rsidRPr="00E94D47">
        <w:rPr>
          <w:rFonts w:ascii="Times New Roman" w:eastAsia="Times New Roman" w:hAnsi="Times New Roman" w:cs="Times New Roman"/>
          <w:lang w:val="en-ID"/>
        </w:rPr>
        <w:t xml:space="preserve"> </w:t>
      </w:r>
      <w:proofErr w:type="spellStart"/>
      <w:r w:rsidR="000E1B31" w:rsidRPr="00E94D47">
        <w:rPr>
          <w:rFonts w:ascii="Times New Roman" w:eastAsia="Times New Roman" w:hAnsi="Times New Roman" w:cs="Times New Roman"/>
          <w:lang w:val="en-ID"/>
        </w:rPr>
        <w:t>muamalah</w:t>
      </w:r>
      <w:proofErr w:type="spellEnd"/>
      <w:r w:rsidR="000E1B31" w:rsidRPr="00E94D47">
        <w:rPr>
          <w:rFonts w:ascii="Times New Roman" w:eastAsia="Times New Roman" w:hAnsi="Times New Roman" w:cs="Times New Roman"/>
          <w:lang w:val="en-ID"/>
        </w:rPr>
        <w:t xml:space="preserve"> principles, given the prohibition of </w:t>
      </w:r>
      <w:proofErr w:type="spellStart"/>
      <w:r w:rsidR="000E1B31" w:rsidRPr="00E94D47">
        <w:rPr>
          <w:rFonts w:ascii="Times New Roman" w:eastAsia="Times New Roman" w:hAnsi="Times New Roman" w:cs="Times New Roman"/>
          <w:lang w:val="en-ID"/>
        </w:rPr>
        <w:t>riba</w:t>
      </w:r>
      <w:proofErr w:type="spellEnd"/>
      <w:r w:rsidR="000E1B31" w:rsidRPr="00E94D47">
        <w:rPr>
          <w:rFonts w:ascii="Times New Roman" w:eastAsia="Times New Roman" w:hAnsi="Times New Roman" w:cs="Times New Roman"/>
          <w:lang w:val="en-ID"/>
        </w:rPr>
        <w:t xml:space="preserve"> in Islamic financial transactions.</w:t>
      </w:r>
    </w:p>
    <w:p w14:paraId="554486C1" w14:textId="5EA1AD25" w:rsidR="00C120D2" w:rsidRPr="00E94D47" w:rsidRDefault="004C6AB5"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Previous research has analysed QRIS-based donations and Islamic digital philanthropy primarily from adoption, effectiveness, and behavioural perspectives. Studies by Rahman (2024), Rahman, Abdullah, and Hussin (2024), and </w:t>
      </w:r>
      <w:proofErr w:type="spellStart"/>
      <w:r w:rsidRPr="00E94D47">
        <w:rPr>
          <w:rFonts w:ascii="Times New Roman" w:eastAsia="Times New Roman" w:hAnsi="Times New Roman" w:cs="Times New Roman"/>
          <w:lang w:val="en-ID"/>
        </w:rPr>
        <w:t>Kahfi</w:t>
      </w:r>
      <w:proofErr w:type="spellEnd"/>
      <w:r w:rsidRPr="00E94D47">
        <w:rPr>
          <w:rFonts w:ascii="Times New Roman" w:eastAsia="Times New Roman" w:hAnsi="Times New Roman" w:cs="Times New Roman"/>
          <w:lang w:val="en-ID"/>
        </w:rPr>
        <w:t xml:space="preserve"> (2025) document how QRIS improves ZIS collection, enhances donor convenience, and reshapes community engagement. However, these studies largely treat the payment instrument as a neutral technical channel, without decomposing the underlying contractual architecture or examining potential </w:t>
      </w:r>
      <w:r w:rsidR="005E6FB2" w:rsidRPr="00E94D47">
        <w:rPr>
          <w:rFonts w:ascii="Times New Roman" w:eastAsia="Times New Roman" w:hAnsi="Times New Roman" w:cs="Times New Roman"/>
          <w:lang w:val="en-ID"/>
        </w:rPr>
        <w:t xml:space="preserve">Riba </w:t>
      </w:r>
      <w:r w:rsidRPr="00E94D47">
        <w:rPr>
          <w:rFonts w:ascii="Times New Roman" w:eastAsia="Times New Roman" w:hAnsi="Times New Roman" w:cs="Times New Roman"/>
          <w:lang w:val="en-ID"/>
        </w:rPr>
        <w:t>implications embedded in the settlement mechanisms. Similarly, broader Islamic fintech literature emphasises general sharia compliance principles in digital payment systems but tends to overlook mosque-level governance and the specific financial instruments used by donors, including conventional credit cards (Alam &amp; Rizvi, 2023).</w:t>
      </w:r>
    </w:p>
    <w:p w14:paraId="3E7EE903" w14:textId="54FDC7A8" w:rsidR="00C120D2" w:rsidRPr="00E94D47" w:rsidRDefault="00E73655"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In parallel, a growing body of scholarship discusses the permissibility of credit cards within Islamic law, particularly through the framework of multi-contract (hybrid) arrangements. </w:t>
      </w:r>
      <w:proofErr w:type="spellStart"/>
      <w:r w:rsidRPr="00E94D47">
        <w:rPr>
          <w:rFonts w:ascii="Times New Roman" w:eastAsia="Times New Roman" w:hAnsi="Times New Roman" w:cs="Times New Roman"/>
          <w:lang w:val="en-ID"/>
        </w:rPr>
        <w:t>Harahap</w:t>
      </w:r>
      <w:proofErr w:type="spellEnd"/>
      <w:r w:rsidRPr="00E94D47">
        <w:rPr>
          <w:rFonts w:ascii="Times New Roman" w:eastAsia="Times New Roman" w:hAnsi="Times New Roman" w:cs="Times New Roman"/>
          <w:lang w:val="en-ID"/>
        </w:rPr>
        <w:t xml:space="preserve">, Azmi, and </w:t>
      </w:r>
      <w:proofErr w:type="spellStart"/>
      <w:r w:rsidRPr="00E94D47">
        <w:rPr>
          <w:rFonts w:ascii="Times New Roman" w:eastAsia="Times New Roman" w:hAnsi="Times New Roman" w:cs="Times New Roman"/>
          <w:lang w:val="en-ID"/>
        </w:rPr>
        <w:t>Lahuri</w:t>
      </w:r>
      <w:proofErr w:type="spellEnd"/>
      <w:r w:rsidRPr="00E94D47">
        <w:rPr>
          <w:rFonts w:ascii="Times New Roman" w:eastAsia="Times New Roman" w:hAnsi="Times New Roman" w:cs="Times New Roman"/>
          <w:lang w:val="en-ID"/>
        </w:rPr>
        <w:t xml:space="preserve"> (2019) explain that sharia credit cards are structured through a combination of contracts such as </w:t>
      </w:r>
      <w:proofErr w:type="spellStart"/>
      <w:r w:rsidRPr="00E94D47">
        <w:rPr>
          <w:rFonts w:ascii="Times New Roman" w:eastAsia="Times New Roman" w:hAnsi="Times New Roman" w:cs="Times New Roman"/>
          <w:lang w:val="en-ID"/>
        </w:rPr>
        <w:t>kafalah</w:t>
      </w:r>
      <w:proofErr w:type="spellEnd"/>
      <w:r w:rsidRPr="00E94D47">
        <w:rPr>
          <w:rFonts w:ascii="Times New Roman" w:eastAsia="Times New Roman" w:hAnsi="Times New Roman" w:cs="Times New Roman"/>
          <w:lang w:val="en-ID"/>
        </w:rPr>
        <w:t xml:space="preserve">, </w:t>
      </w:r>
      <w:proofErr w:type="spellStart"/>
      <w:r w:rsidRPr="00E94D47">
        <w:rPr>
          <w:rFonts w:ascii="Times New Roman" w:eastAsia="Times New Roman" w:hAnsi="Times New Roman" w:cs="Times New Roman"/>
          <w:lang w:val="en-ID"/>
        </w:rPr>
        <w:t>qard</w:t>
      </w:r>
      <w:proofErr w:type="spellEnd"/>
      <w:r w:rsidRPr="00E94D47">
        <w:rPr>
          <w:rFonts w:ascii="Times New Roman" w:eastAsia="Times New Roman" w:hAnsi="Times New Roman" w:cs="Times New Roman"/>
          <w:lang w:val="en-ID"/>
        </w:rPr>
        <w:t>, and ijarah, which are</w:t>
      </w:r>
      <w:r w:rsidR="005E6FB2" w:rsidRPr="00E94D47">
        <w:rPr>
          <w:rFonts w:ascii="Times New Roman" w:eastAsia="Times New Roman" w:hAnsi="Times New Roman" w:cs="Times New Roman"/>
          <w:lang w:val="en-ID"/>
        </w:rPr>
        <w:t>,</w:t>
      </w:r>
      <w:r w:rsidRPr="00E94D47">
        <w:rPr>
          <w:rFonts w:ascii="Times New Roman" w:eastAsia="Times New Roman" w:hAnsi="Times New Roman" w:cs="Times New Roman"/>
          <w:lang w:val="en-ID"/>
        </w:rPr>
        <w:t xml:space="preserve"> in principle</w:t>
      </w:r>
      <w:r w:rsidR="005E6FB2" w:rsidRPr="00E94D47">
        <w:rPr>
          <w:rFonts w:ascii="Times New Roman" w:eastAsia="Times New Roman" w:hAnsi="Times New Roman" w:cs="Times New Roman"/>
          <w:lang w:val="en-ID"/>
        </w:rPr>
        <w:t>,</w:t>
      </w:r>
      <w:r w:rsidRPr="00E94D47">
        <w:rPr>
          <w:rFonts w:ascii="Times New Roman" w:eastAsia="Times New Roman" w:hAnsi="Times New Roman" w:cs="Times New Roman"/>
          <w:lang w:val="en-ID"/>
        </w:rPr>
        <w:t xml:space="preserve"> permissible provided that their implementation does not lead to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unjust enrichment, or excessive fees. The authors emphasise that Islamic credit card usage must avoid interest-based mechanisms, prevent exploitative charges, and adhere to the objectives of </w:t>
      </w:r>
      <w:proofErr w:type="spellStart"/>
      <w:r w:rsidRPr="00E94D47">
        <w:rPr>
          <w:rFonts w:ascii="Times New Roman" w:eastAsia="Times New Roman" w:hAnsi="Times New Roman" w:cs="Times New Roman"/>
          <w:lang w:val="en-ID"/>
        </w:rPr>
        <w:t>maslahah</w:t>
      </w:r>
      <w:proofErr w:type="spellEnd"/>
      <w:r w:rsidRPr="00E94D47">
        <w:rPr>
          <w:rFonts w:ascii="Times New Roman" w:eastAsia="Times New Roman" w:hAnsi="Times New Roman" w:cs="Times New Roman"/>
          <w:lang w:val="en-ID"/>
        </w:rPr>
        <w:t>, including the preservation of wealth and ethical consumption. Accordingly, transactions such as charity (</w:t>
      </w:r>
      <w:proofErr w:type="spellStart"/>
      <w:r w:rsidRPr="00E94D47">
        <w:rPr>
          <w:rFonts w:ascii="Times New Roman" w:eastAsia="Times New Roman" w:hAnsi="Times New Roman" w:cs="Times New Roman"/>
          <w:lang w:val="en-ID"/>
        </w:rPr>
        <w:t>sadaqah</w:t>
      </w:r>
      <w:proofErr w:type="spellEnd"/>
      <w:r w:rsidRPr="00E94D47">
        <w:rPr>
          <w:rFonts w:ascii="Times New Roman" w:eastAsia="Times New Roman" w:hAnsi="Times New Roman" w:cs="Times New Roman"/>
          <w:lang w:val="en-ID"/>
        </w:rPr>
        <w:t>) or zakat payments via credit cards are considered permissible only when the contractual structure and actual practice remain free from prohibited elements. Nevertheless, existing discussions primarily focus on individual card usage and the regulatory design of sharia credit cards, rather than examining the specific institutional context of mosque-based digital donations processed through QRIS and settled via conventional credit cards.</w:t>
      </w:r>
    </w:p>
    <w:p w14:paraId="13C6E6CD" w14:textId="691A9A11" w:rsidR="00BB207B" w:rsidRPr="00E94D47" w:rsidRDefault="00C120D2"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While extensive research has explored the structural compliance of Islamic credit cards</w:t>
      </w:r>
      <w:r w:rsidR="005E6FB2" w:rsidRPr="00E94D47">
        <w:rPr>
          <w:rFonts w:ascii="Times New Roman" w:eastAsia="Times New Roman" w:hAnsi="Times New Roman" w:cs="Times New Roman"/>
          <w:lang w:val="en-ID"/>
        </w:rPr>
        <w:t>,</w:t>
      </w:r>
      <w:r w:rsidRPr="00E94D47">
        <w:rPr>
          <w:rFonts w:ascii="Times New Roman" w:eastAsia="Times New Roman" w:hAnsi="Times New Roman" w:cs="Times New Roman"/>
          <w:lang w:val="en-ID"/>
        </w:rPr>
        <w:t xml:space="preserve"> such as the application of </w:t>
      </w:r>
      <w:proofErr w:type="spellStart"/>
      <w:r w:rsidRPr="00E94D47">
        <w:rPr>
          <w:rFonts w:ascii="Times New Roman" w:eastAsia="Times New Roman" w:hAnsi="Times New Roman" w:cs="Times New Roman"/>
          <w:lang w:val="en-ID"/>
        </w:rPr>
        <w:t>Ujrah</w:t>
      </w:r>
      <w:proofErr w:type="spellEnd"/>
      <w:r w:rsidRPr="00E94D47">
        <w:rPr>
          <w:rFonts w:ascii="Times New Roman" w:eastAsia="Times New Roman" w:hAnsi="Times New Roman" w:cs="Times New Roman"/>
          <w:lang w:val="en-ID"/>
        </w:rPr>
        <w:t xml:space="preserve"> and </w:t>
      </w:r>
      <w:proofErr w:type="spellStart"/>
      <w:r w:rsidRPr="00E94D47">
        <w:rPr>
          <w:rFonts w:ascii="Times New Roman" w:eastAsia="Times New Roman" w:hAnsi="Times New Roman" w:cs="Times New Roman"/>
          <w:lang w:val="en-ID"/>
        </w:rPr>
        <w:t>Tawarruq</w:t>
      </w:r>
      <w:proofErr w:type="spellEnd"/>
      <w:r w:rsidRPr="00E94D47">
        <w:rPr>
          <w:rFonts w:ascii="Times New Roman" w:eastAsia="Times New Roman" w:hAnsi="Times New Roman" w:cs="Times New Roman"/>
          <w:lang w:val="en-ID"/>
        </w:rPr>
        <w:t xml:space="preserve"> contracts (</w:t>
      </w:r>
      <w:proofErr w:type="spellStart"/>
      <w:r w:rsidRPr="00E94D47">
        <w:rPr>
          <w:rFonts w:ascii="Times New Roman" w:eastAsia="Times New Roman" w:hAnsi="Times New Roman" w:cs="Times New Roman"/>
          <w:lang w:val="en-ID"/>
        </w:rPr>
        <w:t>Bathusha</w:t>
      </w:r>
      <w:proofErr w:type="spellEnd"/>
      <w:r w:rsidRPr="00E94D47">
        <w:rPr>
          <w:rFonts w:ascii="Times New Roman" w:eastAsia="Times New Roman" w:hAnsi="Times New Roman" w:cs="Times New Roman"/>
          <w:lang w:val="en-ID"/>
        </w:rPr>
        <w:t xml:space="preserve"> &amp; Isa, 2024)</w:t>
      </w:r>
      <w:r w:rsidR="005E6FB2" w:rsidRPr="00E94D47">
        <w:rPr>
          <w:rFonts w:ascii="Times New Roman" w:eastAsia="Times New Roman" w:hAnsi="Times New Roman" w:cs="Times New Roman"/>
          <w:lang w:val="en-ID"/>
        </w:rPr>
        <w:t>,</w:t>
      </w:r>
      <w:r w:rsidRPr="00E94D47">
        <w:rPr>
          <w:rFonts w:ascii="Times New Roman" w:eastAsia="Times New Roman" w:hAnsi="Times New Roman" w:cs="Times New Roman"/>
          <w:lang w:val="en-ID"/>
        </w:rPr>
        <w:t xml:space="preserve"> there is a paucity of scholarly attention regarding the specific financial conditions of the donor using these instruments. Existing literature largely overlooks whether the convenience of credit card donations aligns with the ethical imperative of avoiding debt overburden (</w:t>
      </w:r>
      <w:proofErr w:type="spellStart"/>
      <w:r w:rsidRPr="00E94D47">
        <w:rPr>
          <w:rFonts w:ascii="Times New Roman" w:eastAsia="Times New Roman" w:hAnsi="Times New Roman" w:cs="Times New Roman"/>
          <w:lang w:val="en-ID"/>
        </w:rPr>
        <w:t>Gharar</w:t>
      </w:r>
      <w:proofErr w:type="spellEnd"/>
      <w:r w:rsidRPr="00E94D47">
        <w:rPr>
          <w:rFonts w:ascii="Times New Roman" w:eastAsia="Times New Roman" w:hAnsi="Times New Roman" w:cs="Times New Roman"/>
          <w:lang w:val="en-ID"/>
        </w:rPr>
        <w:t xml:space="preserve"> in financial capability), </w:t>
      </w:r>
      <w:r w:rsidRPr="00E94D47">
        <w:rPr>
          <w:rFonts w:ascii="Times New Roman" w:eastAsia="Times New Roman" w:hAnsi="Times New Roman" w:cs="Times New Roman"/>
          <w:lang w:val="en-ID"/>
        </w:rPr>
        <w:lastRenderedPageBreak/>
        <w:t>leaving a gap in understanding the validity of such donations from a holistic Fiqh perspective.</w:t>
      </w:r>
      <w:r w:rsidR="005E6FB2" w:rsidRPr="00E94D47">
        <w:rPr>
          <w:rFonts w:ascii="Times New Roman" w:eastAsia="Times New Roman" w:hAnsi="Times New Roman" w:cs="Times New Roman"/>
          <w:lang w:val="en-ID"/>
        </w:rPr>
        <w:t xml:space="preserve"> </w:t>
      </w:r>
      <w:r w:rsidR="00BB207B" w:rsidRPr="00E94D47">
        <w:rPr>
          <w:rFonts w:ascii="Times New Roman" w:eastAsia="Times New Roman" w:hAnsi="Times New Roman" w:cs="Times New Roman"/>
          <w:lang w:val="en-ID"/>
        </w:rPr>
        <w:t xml:space="preserve">This gap becomes significant when assessed through the principles of </w:t>
      </w:r>
      <w:proofErr w:type="spellStart"/>
      <w:r w:rsidR="00BB207B" w:rsidRPr="00E94D47">
        <w:rPr>
          <w:rFonts w:ascii="Times New Roman" w:eastAsia="Times New Roman" w:hAnsi="Times New Roman" w:cs="Times New Roman"/>
          <w:lang w:val="en-ID"/>
        </w:rPr>
        <w:t>fiqh</w:t>
      </w:r>
      <w:proofErr w:type="spellEnd"/>
      <w:r w:rsidR="00BB207B" w:rsidRPr="00E94D47">
        <w:rPr>
          <w:rFonts w:ascii="Times New Roman" w:eastAsia="Times New Roman" w:hAnsi="Times New Roman" w:cs="Times New Roman"/>
          <w:lang w:val="en-ID"/>
        </w:rPr>
        <w:t xml:space="preserve"> </w:t>
      </w:r>
      <w:proofErr w:type="spellStart"/>
      <w:r w:rsidR="00BB207B" w:rsidRPr="00E94D47">
        <w:rPr>
          <w:rFonts w:ascii="Times New Roman" w:eastAsia="Times New Roman" w:hAnsi="Times New Roman" w:cs="Times New Roman"/>
          <w:lang w:val="en-ID"/>
        </w:rPr>
        <w:t>muamalah</w:t>
      </w:r>
      <w:proofErr w:type="spellEnd"/>
      <w:r w:rsidR="00BB207B" w:rsidRPr="00E94D47">
        <w:rPr>
          <w:rFonts w:ascii="Times New Roman" w:eastAsia="Times New Roman" w:hAnsi="Times New Roman" w:cs="Times New Roman"/>
          <w:lang w:val="en-ID"/>
        </w:rPr>
        <w:t xml:space="preserve">, which emphasize the permissibility of contracts and the avoidance of </w:t>
      </w:r>
      <w:proofErr w:type="spellStart"/>
      <w:r w:rsidR="00BB207B" w:rsidRPr="00E94D47">
        <w:rPr>
          <w:rFonts w:ascii="Times New Roman" w:eastAsia="Times New Roman" w:hAnsi="Times New Roman" w:cs="Times New Roman"/>
          <w:lang w:val="en-ID"/>
        </w:rPr>
        <w:t>riba</w:t>
      </w:r>
      <w:proofErr w:type="spellEnd"/>
      <w:r w:rsidR="00BB207B" w:rsidRPr="00E94D47">
        <w:rPr>
          <w:rFonts w:ascii="Times New Roman" w:eastAsia="Times New Roman" w:hAnsi="Times New Roman" w:cs="Times New Roman"/>
          <w:lang w:val="en-ID"/>
        </w:rPr>
        <w:t>.</w:t>
      </w:r>
    </w:p>
    <w:p w14:paraId="5090F574" w14:textId="3C956CFF" w:rsidR="00BB207B" w:rsidRPr="00E94D47" w:rsidRDefault="00BB207B"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The DSN-MUI has issued fatwas regulating the use of conventional credit cards, notably Fatwa No. 54/DSN-MUI/X/2006, which conditionally permits their use while strictly prohibiting </w:t>
      </w:r>
      <w:proofErr w:type="spellStart"/>
      <w:r w:rsidR="005E6FB2" w:rsidRPr="00E94D47">
        <w:rPr>
          <w:rFonts w:ascii="Times New Roman" w:eastAsia="Times New Roman" w:hAnsi="Times New Roman" w:cs="Times New Roman"/>
          <w:lang w:val="en-ID"/>
        </w:rPr>
        <w:t>riba</w:t>
      </w:r>
      <w:proofErr w:type="spellEnd"/>
      <w:r w:rsidR="005E6FB2" w:rsidRPr="00E94D47">
        <w:rPr>
          <w:rFonts w:ascii="Times New Roman" w:eastAsia="Times New Roman" w:hAnsi="Times New Roman" w:cs="Times New Roman"/>
          <w:lang w:val="en-ID"/>
        </w:rPr>
        <w:t>-</w:t>
      </w:r>
      <w:r w:rsidRPr="00E94D47">
        <w:rPr>
          <w:rFonts w:ascii="Times New Roman" w:eastAsia="Times New Roman" w:hAnsi="Times New Roman" w:cs="Times New Roman"/>
          <w:lang w:val="en-ID"/>
        </w:rPr>
        <w:t>based practices. Nevertheless, existing fatwas primarily address consumer transactions and do not specifically examine QRIS-mediated charitable donations involving conventional credit cards. As a result, the sharia status of such transactions remains insufficiently explored in academic literature, despite their growing practical relevance.</w:t>
      </w:r>
    </w:p>
    <w:p w14:paraId="642538B5" w14:textId="77777777" w:rsidR="00BB207B" w:rsidRPr="00E94D47" w:rsidRDefault="00BB207B"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This study seeks to address this gap by examining the contractual structure of QRIS-based mosque donations funded through conventional credit cards, identifying potential sharia compliance risks, and proposing governance mechanisms that enable mosques to utilize digital payment technologies while maintaining adherence to Islamic legal principles.</w:t>
      </w:r>
    </w:p>
    <w:p w14:paraId="3B58A0EB" w14:textId="05116D67" w:rsidR="001F0B4A" w:rsidRPr="00E94D47" w:rsidRDefault="001F0B4A" w:rsidP="00E94D47">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This study addresses three interconnected research questions: (1) What is the contractual structure of QRIS transactions funded by conventional credit cards, and how does each component align with sharia principles? (2) What are the specific risks of </w:t>
      </w:r>
      <w:r w:rsidR="005E6FB2" w:rsidRPr="00E94D47">
        <w:rPr>
          <w:rFonts w:ascii="Times New Roman" w:eastAsia="Times New Roman" w:hAnsi="Times New Roman" w:cs="Times New Roman"/>
        </w:rPr>
        <w:t xml:space="preserve">Riba </w:t>
      </w:r>
      <w:r w:rsidRPr="00E94D47">
        <w:rPr>
          <w:rFonts w:ascii="Times New Roman" w:eastAsia="Times New Roman" w:hAnsi="Times New Roman" w:cs="Times New Roman"/>
        </w:rPr>
        <w:t xml:space="preserve">involvement and other </w:t>
      </w:r>
      <w:r w:rsidR="005E6FB2" w:rsidRPr="00E94D47">
        <w:rPr>
          <w:rFonts w:ascii="Times New Roman" w:eastAsia="Times New Roman" w:hAnsi="Times New Roman" w:cs="Times New Roman"/>
        </w:rPr>
        <w:t>Sharia</w:t>
      </w:r>
      <w:r w:rsidRPr="00E94D47">
        <w:rPr>
          <w:rFonts w:ascii="Times New Roman" w:eastAsia="Times New Roman" w:hAnsi="Times New Roman" w:cs="Times New Roman"/>
        </w:rPr>
        <w:t>-compliance concerns associated with this transaction methodology? (3) What governance frameworks and practical mechanisms can mosques implement to ensure sharia compliance while leveraging digital payment technologies?</w:t>
      </w:r>
    </w:p>
    <w:p w14:paraId="52223914" w14:textId="77777777" w:rsidR="001F0B4A" w:rsidRPr="00E94D47" w:rsidRDefault="001F0B4A" w:rsidP="00E94D47">
      <w:pPr>
        <w:spacing w:line="240" w:lineRule="auto"/>
        <w:ind w:firstLine="567"/>
        <w:jc w:val="both"/>
        <w:rPr>
          <w:rFonts w:ascii="Times New Roman" w:eastAsia="Times New Roman" w:hAnsi="Times New Roman" w:cs="Times New Roman"/>
        </w:rPr>
      </w:pPr>
    </w:p>
    <w:p w14:paraId="05F488B7" w14:textId="77777777" w:rsidR="001F0B4A" w:rsidRPr="00E94D47" w:rsidRDefault="001F0B4A" w:rsidP="00E94D47">
      <w:pPr>
        <w:spacing w:line="240" w:lineRule="auto"/>
        <w:jc w:val="both"/>
        <w:rPr>
          <w:rFonts w:ascii="Times New Roman" w:eastAsia="Times New Roman" w:hAnsi="Times New Roman" w:cs="Times New Roman"/>
          <w:b/>
        </w:rPr>
      </w:pPr>
      <w:r w:rsidRPr="00E94D47">
        <w:rPr>
          <w:rFonts w:ascii="Times New Roman" w:eastAsia="Times New Roman" w:hAnsi="Times New Roman" w:cs="Times New Roman"/>
          <w:b/>
        </w:rPr>
        <w:t xml:space="preserve">Theoretical Review </w:t>
      </w:r>
    </w:p>
    <w:p w14:paraId="54757E2B" w14:textId="77777777" w:rsidR="00553A54" w:rsidRPr="00E94D47" w:rsidRDefault="00553A54" w:rsidP="00E94D47">
      <w:pPr>
        <w:spacing w:line="240" w:lineRule="auto"/>
        <w:jc w:val="both"/>
        <w:rPr>
          <w:rFonts w:ascii="Times New Roman" w:eastAsia="Times New Roman" w:hAnsi="Times New Roman" w:cs="Times New Roman"/>
          <w:b/>
        </w:rPr>
      </w:pPr>
      <w:r w:rsidRPr="00E94D47">
        <w:rPr>
          <w:rFonts w:ascii="Times New Roman" w:eastAsia="Times New Roman" w:hAnsi="Times New Roman" w:cs="Times New Roman"/>
          <w:b/>
        </w:rPr>
        <w:t xml:space="preserve">Fiqh </w:t>
      </w:r>
      <w:proofErr w:type="spellStart"/>
      <w:r w:rsidRPr="00E94D47">
        <w:rPr>
          <w:rFonts w:ascii="Times New Roman" w:eastAsia="Times New Roman" w:hAnsi="Times New Roman" w:cs="Times New Roman"/>
          <w:b/>
        </w:rPr>
        <w:t>Muamalah</w:t>
      </w:r>
      <w:proofErr w:type="spellEnd"/>
      <w:r w:rsidRPr="00E94D47">
        <w:rPr>
          <w:rFonts w:ascii="Times New Roman" w:eastAsia="Times New Roman" w:hAnsi="Times New Roman" w:cs="Times New Roman"/>
          <w:b/>
        </w:rPr>
        <w:t xml:space="preserve"> and the </w:t>
      </w:r>
      <w:proofErr w:type="spellStart"/>
      <w:r w:rsidRPr="00E94D47">
        <w:rPr>
          <w:rFonts w:ascii="Times New Roman" w:eastAsia="Times New Roman" w:hAnsi="Times New Roman" w:cs="Times New Roman"/>
          <w:b/>
        </w:rPr>
        <w:t>Maqasid</w:t>
      </w:r>
      <w:proofErr w:type="spellEnd"/>
      <w:r w:rsidRPr="00E94D47">
        <w:rPr>
          <w:rFonts w:ascii="Times New Roman" w:eastAsia="Times New Roman" w:hAnsi="Times New Roman" w:cs="Times New Roman"/>
          <w:b/>
        </w:rPr>
        <w:t xml:space="preserve"> al-Shariah Framework</w:t>
      </w:r>
    </w:p>
    <w:p w14:paraId="5F1F350F" w14:textId="75813C73"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Fiqh </w:t>
      </w:r>
      <w:proofErr w:type="spellStart"/>
      <w:r w:rsidRPr="00E94D47">
        <w:rPr>
          <w:rFonts w:ascii="Times New Roman" w:eastAsia="Times New Roman" w:hAnsi="Times New Roman" w:cs="Times New Roman"/>
          <w:lang w:val="en-ID"/>
        </w:rPr>
        <w:t>muamalah</w:t>
      </w:r>
      <w:proofErr w:type="spellEnd"/>
      <w:r w:rsidRPr="00E94D47">
        <w:rPr>
          <w:rFonts w:ascii="Times New Roman" w:eastAsia="Times New Roman" w:hAnsi="Times New Roman" w:cs="Times New Roman"/>
          <w:lang w:val="en-ID"/>
        </w:rPr>
        <w:t xml:space="preserve"> constitutes a comprehensive Islamic jurisprudential framework governing commercial transactions, contractual relationships, and financial exchanges. </w:t>
      </w:r>
      <w:r w:rsidR="004F3E78" w:rsidRPr="00E94D47">
        <w:rPr>
          <w:rFonts w:ascii="Times New Roman" w:eastAsia="Times New Roman" w:hAnsi="Times New Roman" w:cs="Times New Roman"/>
        </w:rPr>
        <w:t xml:space="preserve">Fiqh </w:t>
      </w:r>
      <w:proofErr w:type="spellStart"/>
      <w:r w:rsidR="004F3E78" w:rsidRPr="00E94D47">
        <w:rPr>
          <w:rFonts w:ascii="Times New Roman" w:eastAsia="Times New Roman" w:hAnsi="Times New Roman" w:cs="Times New Roman"/>
        </w:rPr>
        <w:t>muamalah</w:t>
      </w:r>
      <w:proofErr w:type="spellEnd"/>
      <w:r w:rsidR="004F3E78" w:rsidRPr="00E94D47">
        <w:rPr>
          <w:rFonts w:ascii="Times New Roman" w:eastAsia="Times New Roman" w:hAnsi="Times New Roman" w:cs="Times New Roman"/>
        </w:rPr>
        <w:t xml:space="preserve"> is grounded in primary Islamic legal sources, including the Qur'an, Sunnah, scholarly consensus, and analogical reasoning, forming a normative framework that guides economic transactions. This framework seeks to ensure that financial activities preserve spiritual and ethical legitimacy while simultaneously addressing functional and practical economic needs. </w:t>
      </w:r>
      <w:r w:rsidRPr="00E94D47">
        <w:rPr>
          <w:rFonts w:ascii="Times New Roman" w:eastAsia="Times New Roman" w:hAnsi="Times New Roman" w:cs="Times New Roman"/>
          <w:lang w:val="en-ID"/>
        </w:rPr>
        <w:t xml:space="preserve">The foundational principle of </w:t>
      </w:r>
      <w:proofErr w:type="spellStart"/>
      <w:r w:rsidRPr="00E94D47">
        <w:rPr>
          <w:rFonts w:ascii="Times New Roman" w:eastAsia="Times New Roman" w:hAnsi="Times New Roman" w:cs="Times New Roman"/>
          <w:lang w:val="en-ID"/>
        </w:rPr>
        <w:t>fiqh</w:t>
      </w:r>
      <w:proofErr w:type="spellEnd"/>
      <w:r w:rsidRPr="00E94D47">
        <w:rPr>
          <w:rFonts w:ascii="Times New Roman" w:eastAsia="Times New Roman" w:hAnsi="Times New Roman" w:cs="Times New Roman"/>
          <w:lang w:val="en-ID"/>
        </w:rPr>
        <w:t xml:space="preserve"> </w:t>
      </w:r>
      <w:proofErr w:type="spellStart"/>
      <w:r w:rsidRPr="00E94D47">
        <w:rPr>
          <w:rFonts w:ascii="Times New Roman" w:eastAsia="Times New Roman" w:hAnsi="Times New Roman" w:cs="Times New Roman"/>
          <w:lang w:val="en-ID"/>
        </w:rPr>
        <w:t>muamalah</w:t>
      </w:r>
      <w:proofErr w:type="spellEnd"/>
      <w:r w:rsidRPr="00E94D47">
        <w:rPr>
          <w:rFonts w:ascii="Times New Roman" w:eastAsia="Times New Roman" w:hAnsi="Times New Roman" w:cs="Times New Roman"/>
          <w:lang w:val="en-ID"/>
        </w:rPr>
        <w:t xml:space="preserve"> stipulates that all transactions are inherently permissible (</w:t>
      </w:r>
      <w:proofErr w:type="spellStart"/>
      <w:r w:rsidRPr="00E94D47">
        <w:rPr>
          <w:rFonts w:ascii="Times New Roman" w:eastAsia="Times New Roman" w:hAnsi="Times New Roman" w:cs="Times New Roman"/>
          <w:lang w:val="en-ID"/>
        </w:rPr>
        <w:t>mubah</w:t>
      </w:r>
      <w:proofErr w:type="spellEnd"/>
      <w:r w:rsidRPr="00E94D47">
        <w:rPr>
          <w:rFonts w:ascii="Times New Roman" w:eastAsia="Times New Roman" w:hAnsi="Times New Roman" w:cs="Times New Roman"/>
          <w:lang w:val="en-ID"/>
        </w:rPr>
        <w:t xml:space="preserve">) unless explicitly prohibited by Islamic law. This framework establishes a presumption </w:t>
      </w:r>
      <w:proofErr w:type="spellStart"/>
      <w:r w:rsidRPr="00E94D47">
        <w:rPr>
          <w:rFonts w:ascii="Times New Roman" w:eastAsia="Times New Roman" w:hAnsi="Times New Roman" w:cs="Times New Roman"/>
          <w:lang w:val="en-ID"/>
        </w:rPr>
        <w:t>favoring</w:t>
      </w:r>
      <w:proofErr w:type="spellEnd"/>
      <w:r w:rsidRPr="00E94D47">
        <w:rPr>
          <w:rFonts w:ascii="Times New Roman" w:eastAsia="Times New Roman" w:hAnsi="Times New Roman" w:cs="Times New Roman"/>
          <w:lang w:val="en-ID"/>
        </w:rPr>
        <w:t xml:space="preserve"> commercial activity while maintaining specific prohibitions against harmful or exploitative practices.</w:t>
      </w:r>
    </w:p>
    <w:p w14:paraId="5D370FEE" w14:textId="4F165548"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Within contemporary Islamic finance theory, the concept of </w:t>
      </w:r>
      <w:proofErr w:type="spellStart"/>
      <w:r w:rsidRPr="00E94D47">
        <w:rPr>
          <w:rFonts w:ascii="Times New Roman" w:eastAsia="Times New Roman" w:hAnsi="Times New Roman" w:cs="Times New Roman"/>
          <w:lang w:val="en-ID"/>
        </w:rPr>
        <w:t>maqasid</w:t>
      </w:r>
      <w:proofErr w:type="spellEnd"/>
      <w:r w:rsidRPr="00E94D47">
        <w:rPr>
          <w:rFonts w:ascii="Times New Roman" w:eastAsia="Times New Roman" w:hAnsi="Times New Roman" w:cs="Times New Roman"/>
          <w:lang w:val="en-ID"/>
        </w:rPr>
        <w:t xml:space="preserve"> al-shariah (objectives of Islamic law) provides </w:t>
      </w:r>
      <w:r w:rsidR="005E6FB2" w:rsidRPr="00E94D47">
        <w:rPr>
          <w:rFonts w:ascii="Times New Roman" w:eastAsia="Times New Roman" w:hAnsi="Times New Roman" w:cs="Times New Roman"/>
          <w:lang w:val="en-ID"/>
        </w:rPr>
        <w:t xml:space="preserve">a </w:t>
      </w:r>
      <w:r w:rsidRPr="00E94D47">
        <w:rPr>
          <w:rFonts w:ascii="Times New Roman" w:eastAsia="Times New Roman" w:hAnsi="Times New Roman" w:cs="Times New Roman"/>
          <w:lang w:val="en-ID"/>
        </w:rPr>
        <w:t xml:space="preserve">crucial analytical framework. </w:t>
      </w:r>
      <w:r w:rsidR="00544BA2" w:rsidRPr="00E94D47">
        <w:rPr>
          <w:rFonts w:ascii="Times New Roman" w:eastAsia="Times New Roman" w:hAnsi="Times New Roman" w:cs="Times New Roman"/>
        </w:rPr>
        <w:t xml:space="preserve">Amal et al. (2024) explain that contemporary </w:t>
      </w:r>
      <w:proofErr w:type="spellStart"/>
      <w:r w:rsidR="00544BA2" w:rsidRPr="00E94D47">
        <w:rPr>
          <w:rFonts w:ascii="Times New Roman" w:eastAsia="Times New Roman" w:hAnsi="Times New Roman" w:cs="Times New Roman"/>
        </w:rPr>
        <w:t>maqasid</w:t>
      </w:r>
      <w:proofErr w:type="spellEnd"/>
      <w:r w:rsidR="00544BA2" w:rsidRPr="00E94D47">
        <w:rPr>
          <w:rFonts w:ascii="Times New Roman" w:eastAsia="Times New Roman" w:hAnsi="Times New Roman" w:cs="Times New Roman"/>
        </w:rPr>
        <w:t xml:space="preserve"> literature frames the objectives of Islamic law as a structured system aimed at preserving core human values, including faith, life, intellect, lineage, and wealth, providing an evaluative foundation for assessing modern financial practices and governance structures within Sharia-compliant contexts. </w:t>
      </w:r>
      <w:r w:rsidRPr="00E94D47">
        <w:rPr>
          <w:rFonts w:ascii="Times New Roman" w:eastAsia="Times New Roman" w:hAnsi="Times New Roman" w:cs="Times New Roman"/>
          <w:lang w:val="en-ID"/>
        </w:rPr>
        <w:t>Commercial transactions must align with these foundational objectives, and any practice that contravenes them becomes impermissible.</w:t>
      </w:r>
      <w:r w:rsidR="005E6FB2" w:rsidRPr="00E94D47">
        <w:rPr>
          <w:rFonts w:ascii="Times New Roman" w:eastAsia="Times New Roman" w:hAnsi="Times New Roman" w:cs="Times New Roman"/>
          <w:lang w:val="en-ID"/>
        </w:rPr>
        <w:t xml:space="preserve"> </w:t>
      </w:r>
      <w:r w:rsidRPr="00E94D47">
        <w:rPr>
          <w:rFonts w:ascii="Times New Roman" w:eastAsia="Times New Roman" w:hAnsi="Times New Roman" w:cs="Times New Roman"/>
          <w:lang w:val="en-ID"/>
        </w:rPr>
        <w:t xml:space="preserve">The prohibition against unearned profit or interest on monetary loans, known as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al-</w:t>
      </w:r>
      <w:proofErr w:type="spellStart"/>
      <w:r w:rsidRPr="00E94D47">
        <w:rPr>
          <w:rFonts w:ascii="Times New Roman" w:eastAsia="Times New Roman" w:hAnsi="Times New Roman" w:cs="Times New Roman"/>
          <w:lang w:val="en-ID"/>
        </w:rPr>
        <w:t>nasia</w:t>
      </w:r>
      <w:proofErr w:type="spellEnd"/>
      <w:r w:rsidRPr="00E94D47">
        <w:rPr>
          <w:rFonts w:ascii="Times New Roman" w:eastAsia="Times New Roman" w:hAnsi="Times New Roman" w:cs="Times New Roman"/>
          <w:lang w:val="en-ID"/>
        </w:rPr>
        <w:t xml:space="preserve">, serves to preserve the property rights objective of </w:t>
      </w:r>
      <w:proofErr w:type="spellStart"/>
      <w:r w:rsidRPr="00E94D47">
        <w:rPr>
          <w:rFonts w:ascii="Times New Roman" w:eastAsia="Times New Roman" w:hAnsi="Times New Roman" w:cs="Times New Roman"/>
          <w:lang w:val="en-ID"/>
        </w:rPr>
        <w:t>maqasid</w:t>
      </w:r>
      <w:proofErr w:type="spellEnd"/>
      <w:r w:rsidRPr="00E94D47">
        <w:rPr>
          <w:rFonts w:ascii="Times New Roman" w:eastAsia="Times New Roman" w:hAnsi="Times New Roman" w:cs="Times New Roman"/>
          <w:lang w:val="en-ID"/>
        </w:rPr>
        <w:t xml:space="preserve"> al-shariah by preventing unjust enrichment through monetary lending.</w:t>
      </w:r>
    </w:p>
    <w:p w14:paraId="39305908" w14:textId="101615C7"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The evolution of Islamic finance over recent decades has necessitated increasingly sophisticated analytical approaches to accommodate technological innovation. </w:t>
      </w:r>
      <w:r w:rsidR="002F07AF" w:rsidRPr="00E94D47">
        <w:rPr>
          <w:rFonts w:ascii="Times New Roman" w:eastAsia="Times New Roman" w:hAnsi="Times New Roman" w:cs="Times New Roman"/>
          <w:lang w:val="en-ID"/>
        </w:rPr>
        <w:t>Contemporary Islamic finance research highlights that technological innovation and fintech integration have fundamentally transformed transaction structures, creating interconnected contractual architectures and digital interfaces that necessitate comprehensive Sharia assessment frameworks rather than isolated contract evaluation (</w:t>
      </w:r>
      <w:proofErr w:type="spellStart"/>
      <w:r w:rsidR="002F07AF" w:rsidRPr="00E94D47">
        <w:rPr>
          <w:rFonts w:ascii="Times New Roman" w:eastAsia="Times New Roman" w:hAnsi="Times New Roman" w:cs="Times New Roman"/>
          <w:lang w:val="en-ID"/>
        </w:rPr>
        <w:t>Alshater</w:t>
      </w:r>
      <w:proofErr w:type="spellEnd"/>
      <w:r w:rsidR="002F07AF" w:rsidRPr="00E94D47">
        <w:rPr>
          <w:rFonts w:ascii="Times New Roman" w:eastAsia="Times New Roman" w:hAnsi="Times New Roman" w:cs="Times New Roman"/>
          <w:lang w:val="en-ID"/>
        </w:rPr>
        <w:t>, 2026).</w:t>
      </w:r>
      <w:r w:rsidRPr="00E94D47">
        <w:rPr>
          <w:rFonts w:ascii="Times New Roman" w:eastAsia="Times New Roman" w:hAnsi="Times New Roman" w:cs="Times New Roman"/>
          <w:lang w:val="en-ID"/>
        </w:rPr>
        <w:t xml:space="preserve"> This theoretical development underscores the necessity for rigorous application of established jurisprudential principles to emerging technologies, ensuring innovation does not compromise religious authenticity.</w:t>
      </w:r>
    </w:p>
    <w:p w14:paraId="5A4D9A2A" w14:textId="77777777" w:rsidR="001F0B4A" w:rsidRPr="00E94D47" w:rsidRDefault="001F0B4A" w:rsidP="00E94D47">
      <w:pPr>
        <w:spacing w:line="240" w:lineRule="auto"/>
        <w:ind w:firstLine="567"/>
        <w:jc w:val="both"/>
        <w:rPr>
          <w:rFonts w:ascii="Times New Roman" w:eastAsia="Times New Roman" w:hAnsi="Times New Roman" w:cs="Times New Roman"/>
        </w:rPr>
      </w:pPr>
    </w:p>
    <w:p w14:paraId="6E2014FF" w14:textId="77777777" w:rsidR="001F0B4A" w:rsidRPr="00E94D47" w:rsidRDefault="001F0B4A" w:rsidP="00E94D47">
      <w:pPr>
        <w:spacing w:line="240" w:lineRule="auto"/>
        <w:jc w:val="both"/>
        <w:rPr>
          <w:rFonts w:ascii="Times New Roman" w:eastAsia="Times New Roman" w:hAnsi="Times New Roman" w:cs="Times New Roman"/>
          <w:b/>
          <w:lang w:val="en-US"/>
        </w:rPr>
      </w:pPr>
      <w:r w:rsidRPr="00E94D47">
        <w:rPr>
          <w:rFonts w:ascii="Times New Roman" w:eastAsia="Times New Roman" w:hAnsi="Times New Roman" w:cs="Times New Roman"/>
          <w:b/>
          <w:lang w:val="en-US"/>
        </w:rPr>
        <w:lastRenderedPageBreak/>
        <w:t>QRIS Technology and Digital Payment Infrastructure</w:t>
      </w:r>
    </w:p>
    <w:p w14:paraId="794E519D" w14:textId="77777777"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Quick Response Code Indonesian Standard (QRIS) is a standardized digital payment infrastructure established by Bank Indonesia to ensure interoperability, efficiency, and security within Indonesia’s national payment system. The legal foundation of QRIS is primarily governed by </w:t>
      </w:r>
      <w:proofErr w:type="spellStart"/>
      <w:r w:rsidRPr="00E94D47">
        <w:rPr>
          <w:rFonts w:ascii="Times New Roman" w:eastAsia="Times New Roman" w:hAnsi="Times New Roman" w:cs="Times New Roman"/>
          <w:lang w:val="en-ID"/>
        </w:rPr>
        <w:t>Peraturan</w:t>
      </w:r>
      <w:proofErr w:type="spellEnd"/>
      <w:r w:rsidRPr="00E94D47">
        <w:rPr>
          <w:rFonts w:ascii="Times New Roman" w:eastAsia="Times New Roman" w:hAnsi="Times New Roman" w:cs="Times New Roman"/>
          <w:lang w:val="en-ID"/>
        </w:rPr>
        <w:t xml:space="preserve"> Bank Indonesia No. 21/18/PBI/2019 on the Implementation of the National QR Code Standard for Payments and further operationalized through implementing circular letters issued by Bank Indonesia (Bank Indonesia, 2019). These regulations position QRIS as part of the formal payment system infrastructure applicable to all merchants, including religious and non-profit institutions.</w:t>
      </w:r>
    </w:p>
    <w:p w14:paraId="4C9DE3D4" w14:textId="26D28E83"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From a </w:t>
      </w:r>
      <w:r w:rsidR="005E6FB2" w:rsidRPr="00E94D47">
        <w:rPr>
          <w:rFonts w:ascii="Times New Roman" w:eastAsia="Times New Roman" w:hAnsi="Times New Roman" w:cs="Times New Roman"/>
          <w:lang w:val="en-ID"/>
        </w:rPr>
        <w:t xml:space="preserve">Sharia </w:t>
      </w:r>
      <w:r w:rsidRPr="00E94D47">
        <w:rPr>
          <w:rFonts w:ascii="Times New Roman" w:eastAsia="Times New Roman" w:hAnsi="Times New Roman" w:cs="Times New Roman"/>
          <w:lang w:val="en-ID"/>
        </w:rPr>
        <w:t xml:space="preserve">governance perspective, the permissibility of QRIS as a payment instrument is indirectly addressed through Islamic financial regulatory frameworks rather than a specific standalone fatwa on QRIS. The </w:t>
      </w:r>
      <w:proofErr w:type="spellStart"/>
      <w:r w:rsidRPr="00E94D47">
        <w:rPr>
          <w:rFonts w:ascii="Times New Roman" w:eastAsia="Times New Roman" w:hAnsi="Times New Roman" w:cs="Times New Roman"/>
          <w:lang w:val="en-ID"/>
        </w:rPr>
        <w:t>Otoritas</w:t>
      </w:r>
      <w:proofErr w:type="spellEnd"/>
      <w:r w:rsidRPr="00E94D47">
        <w:rPr>
          <w:rFonts w:ascii="Times New Roman" w:eastAsia="Times New Roman" w:hAnsi="Times New Roman" w:cs="Times New Roman"/>
          <w:lang w:val="en-ID"/>
        </w:rPr>
        <w:t xml:space="preserve"> Jasa Keuangan, through its Islamic finance regulations, emphasizes that digital payment technologies may be utilized in sharia-based activities provided that the underlying contracts and funding sources comply with Islamic principles (OJK, 2022). Similarly, the DSN-MUI has issued multiple fatwas concerning payment instruments and financial contracts, including Fatwa No. 54/DSN-MUI/X/2006 on credit cards and Fatwa No. 116/DSN-MUI/IX/2017 on electronic money, both of which establish sharia compliance requirements relevant to QRIS-based transactions.</w:t>
      </w:r>
    </w:p>
    <w:p w14:paraId="2D60E338" w14:textId="76B20BE2" w:rsidR="00553A54" w:rsidRPr="00E94D47" w:rsidRDefault="00553A5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However, the apparent simplicity of QRIS transactions obscures underlying complexity. In reality, multiple contractual relationships emerge simultaneously, as documented in recent Islamic finance scholarship on digital payment systems. According to Bank Indonesia regulations (Bank Indonesia, 2019), QRIS transactions involve: (1) the cardholder-to-issuer bank relationship (involving interest-bearing credit extension), (2) the cardholder-to-QRIS processor relationship (involving authorization and payment instructions), (3) the QRIS processor-to-acquiring bank relationship (involving settlement and fund transfer), and (4) the acquiring bank-to-merchant relationship (involving deposit and account management). Each relationship layer introduces distinct legal implications and potential </w:t>
      </w:r>
      <w:r w:rsidR="005E6FB2" w:rsidRPr="00E94D47">
        <w:rPr>
          <w:rFonts w:ascii="Times New Roman" w:eastAsia="Times New Roman" w:hAnsi="Times New Roman" w:cs="Times New Roman"/>
          <w:lang w:val="en-ID"/>
        </w:rPr>
        <w:t xml:space="preserve">Sharia </w:t>
      </w:r>
      <w:r w:rsidRPr="00E94D47">
        <w:rPr>
          <w:rFonts w:ascii="Times New Roman" w:eastAsia="Times New Roman" w:hAnsi="Times New Roman" w:cs="Times New Roman"/>
          <w:lang w:val="en-ID"/>
        </w:rPr>
        <w:t>compliance complications, particularly when conventional credit cards participate in the transaction chain.</w:t>
      </w:r>
    </w:p>
    <w:p w14:paraId="50339A8D" w14:textId="77777777" w:rsidR="001F0B4A" w:rsidRPr="00E94D47" w:rsidRDefault="001F0B4A" w:rsidP="00E94D47">
      <w:pPr>
        <w:spacing w:line="240" w:lineRule="auto"/>
        <w:jc w:val="both"/>
        <w:rPr>
          <w:rFonts w:ascii="Times New Roman" w:eastAsia="Times New Roman" w:hAnsi="Times New Roman" w:cs="Times New Roman"/>
        </w:rPr>
      </w:pPr>
    </w:p>
    <w:p w14:paraId="66BD03B0" w14:textId="77777777" w:rsidR="001F0B4A" w:rsidRPr="00E94D47" w:rsidRDefault="001F0B4A" w:rsidP="00E94D47">
      <w:pPr>
        <w:spacing w:line="240" w:lineRule="auto"/>
        <w:jc w:val="both"/>
        <w:rPr>
          <w:rFonts w:ascii="Times New Roman" w:eastAsia="Times New Roman" w:hAnsi="Times New Roman" w:cs="Times New Roman"/>
          <w:lang w:val="en-US"/>
        </w:rPr>
      </w:pPr>
      <w:r w:rsidRPr="00E94D47">
        <w:rPr>
          <w:rFonts w:ascii="Times New Roman" w:eastAsia="Times New Roman" w:hAnsi="Times New Roman" w:cs="Times New Roman"/>
          <w:b/>
          <w:lang w:val="en-US"/>
        </w:rPr>
        <w:t>Riba Concept and Credit Card Economics</w:t>
      </w:r>
    </w:p>
    <w:p w14:paraId="5AA2CB7D" w14:textId="77777777"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Riba constitutes one of the core prohibitions in Islamic law, referring to unjustified excess arising from financial transactions. Classical </w:t>
      </w:r>
      <w:proofErr w:type="spellStart"/>
      <w:r w:rsidRPr="00E94D47">
        <w:rPr>
          <w:rFonts w:ascii="Times New Roman" w:eastAsia="Times New Roman" w:hAnsi="Times New Roman" w:cs="Times New Roman"/>
          <w:lang w:val="en-ID"/>
        </w:rPr>
        <w:t>fiqh</w:t>
      </w:r>
      <w:proofErr w:type="spellEnd"/>
      <w:r w:rsidRPr="00E94D47">
        <w:rPr>
          <w:rFonts w:ascii="Times New Roman" w:eastAsia="Times New Roman" w:hAnsi="Times New Roman" w:cs="Times New Roman"/>
          <w:lang w:val="en-ID"/>
        </w:rPr>
        <w:t xml:space="preserve"> categorizes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into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al-</w:t>
      </w:r>
      <w:proofErr w:type="spellStart"/>
      <w:r w:rsidRPr="00E94D47">
        <w:rPr>
          <w:rFonts w:ascii="Times New Roman" w:eastAsia="Times New Roman" w:hAnsi="Times New Roman" w:cs="Times New Roman"/>
          <w:lang w:val="en-ID"/>
        </w:rPr>
        <w:t>nasī’ah</w:t>
      </w:r>
      <w:proofErr w:type="spellEnd"/>
      <w:r w:rsidRPr="00E94D47">
        <w:rPr>
          <w:rFonts w:ascii="Times New Roman" w:eastAsia="Times New Roman" w:hAnsi="Times New Roman" w:cs="Times New Roman"/>
          <w:lang w:val="en-ID"/>
        </w:rPr>
        <w:t xml:space="preserve">, which arises from excess due to deferred payment in debt contracts, and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al-</w:t>
      </w:r>
      <w:proofErr w:type="spellStart"/>
      <w:r w:rsidRPr="00E94D47">
        <w:rPr>
          <w:rFonts w:ascii="Times New Roman" w:eastAsia="Times New Roman" w:hAnsi="Times New Roman" w:cs="Times New Roman"/>
          <w:lang w:val="en-ID"/>
        </w:rPr>
        <w:t>faḍl</w:t>
      </w:r>
      <w:proofErr w:type="spellEnd"/>
      <w:r w:rsidRPr="00E94D47">
        <w:rPr>
          <w:rFonts w:ascii="Times New Roman" w:eastAsia="Times New Roman" w:hAnsi="Times New Roman" w:cs="Times New Roman"/>
          <w:lang w:val="en-ID"/>
        </w:rPr>
        <w:t xml:space="preserve">, which arises from unequal exchange of homogeneous commodities. In contemporary financial practice, interest charged on conventional credit cards is widely classified as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al-</w:t>
      </w:r>
      <w:proofErr w:type="spellStart"/>
      <w:r w:rsidRPr="00E94D47">
        <w:rPr>
          <w:rFonts w:ascii="Times New Roman" w:eastAsia="Times New Roman" w:hAnsi="Times New Roman" w:cs="Times New Roman"/>
          <w:lang w:val="en-ID"/>
        </w:rPr>
        <w:t>nasī’ah</w:t>
      </w:r>
      <w:proofErr w:type="spellEnd"/>
      <w:r w:rsidRPr="00E94D47">
        <w:rPr>
          <w:rFonts w:ascii="Times New Roman" w:eastAsia="Times New Roman" w:hAnsi="Times New Roman" w:cs="Times New Roman"/>
          <w:lang w:val="en-ID"/>
        </w:rPr>
        <w:t xml:space="preserve"> due to its origin in debt-based credit arrangements.</w:t>
      </w:r>
    </w:p>
    <w:p w14:paraId="32656615" w14:textId="277EC434"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In the Indonesian context, the </w:t>
      </w:r>
      <w:r w:rsidR="005E6FB2" w:rsidRPr="00E94D47">
        <w:rPr>
          <w:rFonts w:ascii="Times New Roman" w:eastAsia="Times New Roman" w:hAnsi="Times New Roman" w:cs="Times New Roman"/>
          <w:lang w:val="en-ID"/>
        </w:rPr>
        <w:t xml:space="preserve">Sharia </w:t>
      </w:r>
      <w:r w:rsidRPr="00E94D47">
        <w:rPr>
          <w:rFonts w:ascii="Times New Roman" w:eastAsia="Times New Roman" w:hAnsi="Times New Roman" w:cs="Times New Roman"/>
          <w:lang w:val="en-ID"/>
        </w:rPr>
        <w:t>position on credit card usage is regulated by the DSN-MUI through Fatwa No. 54/DSN-MUI/X/2006 concerning credit cards. This fatwa permits conditional use of credit cards while explicitly prohibiting the imposition and utilization of interest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penalties (</w:t>
      </w:r>
      <w:proofErr w:type="spellStart"/>
      <w:r w:rsidRPr="00E94D47">
        <w:rPr>
          <w:rFonts w:ascii="Times New Roman" w:eastAsia="Times New Roman" w:hAnsi="Times New Roman" w:cs="Times New Roman"/>
          <w:lang w:val="en-ID"/>
        </w:rPr>
        <w:t>gharamah</w:t>
      </w:r>
      <w:proofErr w:type="spellEnd"/>
      <w:r w:rsidRPr="00E94D47">
        <w:rPr>
          <w:rFonts w:ascii="Times New Roman" w:eastAsia="Times New Roman" w:hAnsi="Times New Roman" w:cs="Times New Roman"/>
          <w:lang w:val="en-ID"/>
        </w:rPr>
        <w:t xml:space="preserve">), and any contractual structure that leads to unavoidable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The fatwa emphasizes that compliance is determined not only by transaction intent but also by the underlying contractual mechanism.</w:t>
      </w:r>
    </w:p>
    <w:p w14:paraId="770A0E24" w14:textId="77777777"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The relevance of this fatwa extends to charitable transactions, including mosque donations funded through conventional credit cards. Although charitable intention (</w:t>
      </w:r>
      <w:proofErr w:type="spellStart"/>
      <w:r w:rsidRPr="00E94D47">
        <w:rPr>
          <w:rFonts w:ascii="Times New Roman" w:eastAsia="Times New Roman" w:hAnsi="Times New Roman" w:cs="Times New Roman"/>
          <w:lang w:val="en-ID"/>
        </w:rPr>
        <w:t>niyyah</w:t>
      </w:r>
      <w:proofErr w:type="spellEnd"/>
      <w:r w:rsidRPr="00E94D47">
        <w:rPr>
          <w:rFonts w:ascii="Times New Roman" w:eastAsia="Times New Roman" w:hAnsi="Times New Roman" w:cs="Times New Roman"/>
          <w:lang w:val="en-ID"/>
        </w:rPr>
        <w:t xml:space="preserve">) is ethically significant, </w:t>
      </w:r>
      <w:proofErr w:type="spellStart"/>
      <w:r w:rsidRPr="00E94D47">
        <w:rPr>
          <w:rFonts w:ascii="Times New Roman" w:eastAsia="Times New Roman" w:hAnsi="Times New Roman" w:cs="Times New Roman"/>
          <w:lang w:val="en-ID"/>
        </w:rPr>
        <w:t>fiqh</w:t>
      </w:r>
      <w:proofErr w:type="spellEnd"/>
      <w:r w:rsidRPr="00E94D47">
        <w:rPr>
          <w:rFonts w:ascii="Times New Roman" w:eastAsia="Times New Roman" w:hAnsi="Times New Roman" w:cs="Times New Roman"/>
          <w:lang w:val="en-ID"/>
        </w:rPr>
        <w:t xml:space="preserve"> </w:t>
      </w:r>
      <w:proofErr w:type="spellStart"/>
      <w:r w:rsidRPr="00E94D47">
        <w:rPr>
          <w:rFonts w:ascii="Times New Roman" w:eastAsia="Times New Roman" w:hAnsi="Times New Roman" w:cs="Times New Roman"/>
          <w:lang w:val="en-ID"/>
        </w:rPr>
        <w:t>muamalah</w:t>
      </w:r>
      <w:proofErr w:type="spellEnd"/>
      <w:r w:rsidRPr="00E94D47">
        <w:rPr>
          <w:rFonts w:ascii="Times New Roman" w:eastAsia="Times New Roman" w:hAnsi="Times New Roman" w:cs="Times New Roman"/>
          <w:lang w:val="en-ID"/>
        </w:rPr>
        <w:t xml:space="preserve"> prioritizes the permissibility of the transactional instrument itself. DSN-MUI fatwas consistently uphold the principle that beneficial objectives cannot legitimize transactions founded upon prohibited elements such as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(DSN-MUI, 2006).</w:t>
      </w:r>
    </w:p>
    <w:p w14:paraId="57CD651A" w14:textId="4539D655"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This normative position gives rise to legal ambiguity when mosque donations originate from interest-bearing credit facilities. While mosques act as passive recipients, the involvement of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-based instruments in the funding source raises questions regarding indirect participation in </w:t>
      </w:r>
      <w:r w:rsidRPr="00E94D47">
        <w:rPr>
          <w:rFonts w:ascii="Times New Roman" w:eastAsia="Times New Roman" w:hAnsi="Times New Roman" w:cs="Times New Roman"/>
          <w:lang w:val="en-ID"/>
        </w:rPr>
        <w:lastRenderedPageBreak/>
        <w:t xml:space="preserve">prohibited transactions. Consequently, an analysis grounded in DSN-MUI fatwas is required to assess the </w:t>
      </w:r>
      <w:r w:rsidR="005E6FB2" w:rsidRPr="00E94D47">
        <w:rPr>
          <w:rFonts w:ascii="Times New Roman" w:eastAsia="Times New Roman" w:hAnsi="Times New Roman" w:cs="Times New Roman"/>
          <w:lang w:val="en-ID"/>
        </w:rPr>
        <w:t xml:space="preserve">Sharia </w:t>
      </w:r>
      <w:r w:rsidRPr="00E94D47">
        <w:rPr>
          <w:rFonts w:ascii="Times New Roman" w:eastAsia="Times New Roman" w:hAnsi="Times New Roman" w:cs="Times New Roman"/>
          <w:lang w:val="en-ID"/>
        </w:rPr>
        <w:t>implications of credit-card-funded digital donations within mosque governance practices.</w:t>
      </w:r>
    </w:p>
    <w:p w14:paraId="53FFED79" w14:textId="77777777" w:rsidR="001F0B4A" w:rsidRPr="00E94D47" w:rsidRDefault="001F0B4A" w:rsidP="00E94D47">
      <w:pPr>
        <w:spacing w:line="240" w:lineRule="auto"/>
        <w:ind w:firstLine="567"/>
        <w:jc w:val="both"/>
        <w:rPr>
          <w:rFonts w:ascii="Times New Roman" w:eastAsia="Times New Roman" w:hAnsi="Times New Roman" w:cs="Times New Roman"/>
        </w:rPr>
      </w:pPr>
    </w:p>
    <w:p w14:paraId="1C461985" w14:textId="77777777" w:rsidR="001F0B4A" w:rsidRPr="00E94D47" w:rsidRDefault="001F0B4A" w:rsidP="00E94D47">
      <w:pPr>
        <w:spacing w:line="240" w:lineRule="auto"/>
        <w:jc w:val="both"/>
        <w:rPr>
          <w:rFonts w:ascii="Times New Roman" w:eastAsia="Times New Roman" w:hAnsi="Times New Roman" w:cs="Times New Roman"/>
          <w:b/>
          <w:lang w:val="en-US"/>
        </w:rPr>
      </w:pPr>
      <w:r w:rsidRPr="00E94D47">
        <w:rPr>
          <w:rFonts w:ascii="Times New Roman" w:eastAsia="Times New Roman" w:hAnsi="Times New Roman" w:cs="Times New Roman"/>
          <w:b/>
          <w:lang w:val="en-US"/>
        </w:rPr>
        <w:t>DSN-MUI Fatwas and Indonesian Islamic Finance Regulation</w:t>
      </w:r>
    </w:p>
    <w:p w14:paraId="484DBFA2" w14:textId="212F9B6C" w:rsidR="001F0B4A" w:rsidRPr="00E94D47" w:rsidRDefault="001F0B4A" w:rsidP="00E94D47">
      <w:pPr>
        <w:spacing w:line="240" w:lineRule="auto"/>
        <w:ind w:firstLine="567"/>
        <w:jc w:val="both"/>
        <w:rPr>
          <w:rFonts w:ascii="Times New Roman" w:eastAsia="Times New Roman" w:hAnsi="Times New Roman" w:cs="Times New Roman"/>
          <w:lang w:val="en-US"/>
        </w:rPr>
      </w:pPr>
      <w:r w:rsidRPr="00E94D47">
        <w:rPr>
          <w:rFonts w:ascii="Times New Roman" w:eastAsia="Times New Roman" w:hAnsi="Times New Roman" w:cs="Times New Roman"/>
          <w:lang w:val="en-US"/>
        </w:rPr>
        <w:t xml:space="preserve">The DSN-MUI, established as Indonesia's supreme authority on Islamic finance matters, has issued comprehensive guidance addressing contemporary financial issues. Fatwa No. 92/DSN-MUI/IV/2014 specifically addresses credit card utilization, establishing that credit cards are permissible provided: (1) cardholders maintain </w:t>
      </w:r>
      <w:r w:rsidR="005E6FB2" w:rsidRPr="00E94D47">
        <w:rPr>
          <w:rFonts w:ascii="Times New Roman" w:eastAsia="Times New Roman" w:hAnsi="Times New Roman" w:cs="Times New Roman"/>
          <w:lang w:val="en-US"/>
        </w:rPr>
        <w:t xml:space="preserve">the </w:t>
      </w:r>
      <w:r w:rsidRPr="00E94D47">
        <w:rPr>
          <w:rFonts w:ascii="Times New Roman" w:eastAsia="Times New Roman" w:hAnsi="Times New Roman" w:cs="Times New Roman"/>
          <w:lang w:val="en-US"/>
        </w:rPr>
        <w:t>intention to settle balances completely before interest accrual; (2) cardholders actually settle balances without incurring interest charges; and (3) financial institutions issuing cards ensure transparent communication regarding interest terms.</w:t>
      </w:r>
    </w:p>
    <w:p w14:paraId="27B6C05C" w14:textId="77777777" w:rsidR="001F0B4A" w:rsidRPr="00E94D47" w:rsidRDefault="001F0B4A" w:rsidP="00E94D47">
      <w:pPr>
        <w:spacing w:line="240" w:lineRule="auto"/>
        <w:ind w:firstLine="567"/>
        <w:jc w:val="both"/>
        <w:rPr>
          <w:rFonts w:ascii="Times New Roman" w:eastAsia="Times New Roman" w:hAnsi="Times New Roman" w:cs="Times New Roman"/>
          <w:lang w:val="en-US"/>
        </w:rPr>
      </w:pPr>
      <w:r w:rsidRPr="00E94D47">
        <w:rPr>
          <w:rFonts w:ascii="Times New Roman" w:eastAsia="Times New Roman" w:hAnsi="Times New Roman" w:cs="Times New Roman"/>
          <w:lang w:val="en-US"/>
        </w:rPr>
        <w:t xml:space="preserve">Regarding charitable donations, DSN-MUI Fatwa No. 116/DSN-MUI/IX/2017 addresses </w:t>
      </w:r>
      <w:proofErr w:type="spellStart"/>
      <w:r w:rsidRPr="00E94D47">
        <w:rPr>
          <w:rFonts w:ascii="Times New Roman" w:eastAsia="Times New Roman" w:hAnsi="Times New Roman" w:cs="Times New Roman"/>
          <w:lang w:val="en-US"/>
        </w:rPr>
        <w:t>sadaqah</w:t>
      </w:r>
      <w:proofErr w:type="spellEnd"/>
      <w:r w:rsidRPr="00E94D47">
        <w:rPr>
          <w:rFonts w:ascii="Times New Roman" w:eastAsia="Times New Roman" w:hAnsi="Times New Roman" w:cs="Times New Roman"/>
          <w:lang w:val="en-US"/>
        </w:rPr>
        <w:t xml:space="preserve"> (voluntary charity) and zakat (obligatory alms) requirements for Islamic compliance. The fatwa emphasizes that donation legitimacy depends fundamentally upon fund sourcing and transactional cleanliness from prohibited elements.</w:t>
      </w:r>
    </w:p>
    <w:p w14:paraId="28FE5D7E" w14:textId="77777777" w:rsidR="001F0B4A" w:rsidRPr="00E94D47" w:rsidRDefault="001F0B4A" w:rsidP="00E94D47">
      <w:pPr>
        <w:spacing w:line="240" w:lineRule="auto"/>
        <w:ind w:firstLine="567"/>
        <w:jc w:val="both"/>
        <w:rPr>
          <w:rFonts w:ascii="Times New Roman" w:eastAsia="Times New Roman" w:hAnsi="Times New Roman" w:cs="Times New Roman"/>
          <w:lang w:val="en-US"/>
        </w:rPr>
      </w:pPr>
    </w:p>
    <w:p w14:paraId="41557CF8" w14:textId="4804EF5E" w:rsidR="001F0B4A" w:rsidRPr="00E94D47" w:rsidRDefault="00721404" w:rsidP="00E94D47">
      <w:pPr>
        <w:spacing w:line="240" w:lineRule="auto"/>
        <w:jc w:val="both"/>
        <w:rPr>
          <w:rFonts w:ascii="Times New Roman" w:eastAsia="Times New Roman" w:hAnsi="Times New Roman" w:cs="Times New Roman"/>
          <w:b/>
          <w:lang w:val="en-US"/>
        </w:rPr>
      </w:pPr>
      <w:r w:rsidRPr="00E94D47">
        <w:rPr>
          <w:rFonts w:ascii="Times New Roman" w:eastAsia="Times New Roman" w:hAnsi="Times New Roman" w:cs="Times New Roman"/>
          <w:b/>
        </w:rPr>
        <w:t>Recent Research on QRIS Digital Payment for Charitable Giving</w:t>
      </w:r>
    </w:p>
    <w:p w14:paraId="04C5AEF0" w14:textId="7D1E1B43"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Recent empirical research has documented the emergence of QRIS as a significant mechanism for Islamic philanthropic fundraising in Indonesia. </w:t>
      </w:r>
      <w:proofErr w:type="spellStart"/>
      <w:r w:rsidRPr="00E94D47">
        <w:rPr>
          <w:rFonts w:ascii="Times New Roman" w:eastAsia="Times New Roman" w:hAnsi="Times New Roman" w:cs="Times New Roman"/>
          <w:lang w:val="en-ID"/>
        </w:rPr>
        <w:t>Kahfi</w:t>
      </w:r>
      <w:proofErr w:type="spellEnd"/>
      <w:r w:rsidRPr="00E94D47">
        <w:rPr>
          <w:rFonts w:ascii="Times New Roman" w:eastAsia="Times New Roman" w:hAnsi="Times New Roman" w:cs="Times New Roman"/>
          <w:lang w:val="en-ID"/>
        </w:rPr>
        <w:t xml:space="preserve"> (2025) investigated QRIS-based charity boxes and identified QRIS implementation as advancing </w:t>
      </w:r>
      <w:r w:rsidR="005E6FB2" w:rsidRPr="00E94D47">
        <w:rPr>
          <w:rFonts w:ascii="Times New Roman" w:eastAsia="Times New Roman" w:hAnsi="Times New Roman" w:cs="Times New Roman"/>
          <w:lang w:val="en-ID"/>
        </w:rPr>
        <w:t xml:space="preserve">the </w:t>
      </w:r>
      <w:r w:rsidRPr="00E94D47">
        <w:rPr>
          <w:rFonts w:ascii="Times New Roman" w:eastAsia="Times New Roman" w:hAnsi="Times New Roman" w:cs="Times New Roman"/>
          <w:lang w:val="en-ID"/>
        </w:rPr>
        <w:t>sustainability of Islamic da'wah through digital donation infrastructure. The study revealed that QRIS-based donation systems have markedly transformed donation practices, particularly in institutional administration of digital philanthropy, with enhanced community engagement patterns reflecting Indonesian society's readiness to embrace digital payment systems within religious domains.</w:t>
      </w:r>
    </w:p>
    <w:p w14:paraId="373A5140" w14:textId="70E1CECE"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Rahman (2024) conducted </w:t>
      </w:r>
      <w:r w:rsidR="005E6FB2" w:rsidRPr="00E94D47">
        <w:rPr>
          <w:rFonts w:ascii="Times New Roman" w:eastAsia="Times New Roman" w:hAnsi="Times New Roman" w:cs="Times New Roman"/>
          <w:lang w:val="en-ID"/>
        </w:rPr>
        <w:t xml:space="preserve">a </w:t>
      </w:r>
      <w:r w:rsidRPr="00E94D47">
        <w:rPr>
          <w:rFonts w:ascii="Times New Roman" w:eastAsia="Times New Roman" w:hAnsi="Times New Roman" w:cs="Times New Roman"/>
          <w:lang w:val="en-ID"/>
        </w:rPr>
        <w:t xml:space="preserve">comprehensive empirical investigation of QRIS implementation for Zakat, </w:t>
      </w:r>
      <w:proofErr w:type="spellStart"/>
      <w:r w:rsidRPr="00E94D47">
        <w:rPr>
          <w:rFonts w:ascii="Times New Roman" w:eastAsia="Times New Roman" w:hAnsi="Times New Roman" w:cs="Times New Roman"/>
          <w:lang w:val="en-ID"/>
        </w:rPr>
        <w:t>Infaq</w:t>
      </w:r>
      <w:proofErr w:type="spellEnd"/>
      <w:r w:rsidRPr="00E94D47">
        <w:rPr>
          <w:rFonts w:ascii="Times New Roman" w:eastAsia="Times New Roman" w:hAnsi="Times New Roman" w:cs="Times New Roman"/>
          <w:lang w:val="en-ID"/>
        </w:rPr>
        <w:t>, and Sedekah (ZIS) collection in mosques across Gorontalo City, examining effectiveness factors and implementation challenges. The findings revealed that while QRIS adoption reflects mosque management efforts to embrace technological advancement and improve ZIS collection efficiency, significant challenges persist, including limited public awareness and technical obstacles such as network instability.</w:t>
      </w:r>
    </w:p>
    <w:p w14:paraId="1F8E55CC" w14:textId="77777777"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Empirical studies examining financial literacy and QRIS adoption reveal that while QRIS can enhance mosque donations, financial literacy and comprehension obstacles require addressing to optimize effectiveness (Rahman, Abdullah, &amp; Hussin, 2024). The research found that when examined across multiple mosques, financial literacy, perceived ease of use, and perceived benefits significantly influence mosque donor intention to utilize QRIS payment methods.</w:t>
      </w:r>
    </w:p>
    <w:p w14:paraId="30FF0799" w14:textId="05AF5E59"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Research examining community motivation for selecting fintech platforms (including QRIS) for ZIS payments identified both internal motivations and external workgroup influences shaping platform selection (</w:t>
      </w:r>
      <w:proofErr w:type="spellStart"/>
      <w:r w:rsidRPr="00E94D47">
        <w:rPr>
          <w:rFonts w:ascii="Times New Roman" w:eastAsia="Times New Roman" w:hAnsi="Times New Roman" w:cs="Times New Roman"/>
          <w:lang w:val="en-ID"/>
        </w:rPr>
        <w:t>Ziswaf</w:t>
      </w:r>
      <w:proofErr w:type="spellEnd"/>
      <w:r w:rsidRPr="00E94D47">
        <w:rPr>
          <w:rFonts w:ascii="Times New Roman" w:eastAsia="Times New Roman" w:hAnsi="Times New Roman" w:cs="Times New Roman"/>
          <w:lang w:val="en-ID"/>
        </w:rPr>
        <w:t xml:space="preserve"> Payment Motivation Study, 2022).</w:t>
      </w:r>
    </w:p>
    <w:p w14:paraId="3FF9ABD0" w14:textId="77777777"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The broader Islamic fintech compliance literature has emphasized the necessity for integrating Sharia compliance into automated systems and smart contracts, requiring close collaboration between fintech developers and Islamic scholars (Alam &amp; Rizvi, 2023). Contemporary fintech implementation emphasizes transparency, fairness, and equitable risk-sharing in accordance with Shariah principles, particularly relevant to digital donation systems where automated processing and minimal human oversight occur.</w:t>
      </w:r>
    </w:p>
    <w:p w14:paraId="24A0064B" w14:textId="237DFD27" w:rsidR="00721404" w:rsidRPr="00E94D47" w:rsidRDefault="00721404"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Comparative studies examining digital zakat payment adoption across Indonesia and Malaysia revealed that younger Muslim generations show strong preferences for digital platforms for zakat transactions, representing </w:t>
      </w:r>
      <w:r w:rsidR="00C603FE">
        <w:rPr>
          <w:rFonts w:ascii="Times New Roman" w:eastAsia="Times New Roman" w:hAnsi="Times New Roman" w:cs="Times New Roman"/>
          <w:lang w:val="en-ID"/>
        </w:rPr>
        <w:t xml:space="preserve">a </w:t>
      </w:r>
      <w:r w:rsidRPr="00E94D47">
        <w:rPr>
          <w:rFonts w:ascii="Times New Roman" w:eastAsia="Times New Roman" w:hAnsi="Times New Roman" w:cs="Times New Roman"/>
          <w:lang w:val="en-ID"/>
        </w:rPr>
        <w:t xml:space="preserve">fusion of enduring religious values with modern digital landscapes (Young Muslim Generation Digital Payment Study, 2024). This generational shift </w:t>
      </w:r>
      <w:r w:rsidRPr="00E94D47">
        <w:rPr>
          <w:rFonts w:ascii="Times New Roman" w:eastAsia="Times New Roman" w:hAnsi="Times New Roman" w:cs="Times New Roman"/>
          <w:lang w:val="en-ID"/>
        </w:rPr>
        <w:lastRenderedPageBreak/>
        <w:t>underscores the practical urgency of addressing sharia compliance concerns within digital payment systems, as technological adoption accelerates across Muslim-majority populations.</w:t>
      </w:r>
    </w:p>
    <w:p w14:paraId="558AEE3C" w14:textId="77777777" w:rsidR="001F0B4A" w:rsidRPr="00E94D47" w:rsidRDefault="001F0B4A" w:rsidP="00E94D47">
      <w:pPr>
        <w:spacing w:line="240" w:lineRule="auto"/>
        <w:ind w:firstLine="567"/>
        <w:jc w:val="both"/>
        <w:rPr>
          <w:rFonts w:ascii="Times New Roman" w:eastAsia="Times New Roman" w:hAnsi="Times New Roman" w:cs="Times New Roman"/>
          <w:b/>
        </w:rPr>
      </w:pPr>
    </w:p>
    <w:p w14:paraId="3F218D02" w14:textId="60F6E808" w:rsidR="00721404" w:rsidRPr="00E94D47" w:rsidRDefault="00721404" w:rsidP="00E94D47">
      <w:pPr>
        <w:spacing w:line="240" w:lineRule="auto"/>
        <w:jc w:val="both"/>
        <w:rPr>
          <w:rFonts w:ascii="Times New Roman" w:eastAsia="Times New Roman" w:hAnsi="Times New Roman" w:cs="Times New Roman"/>
          <w:b/>
        </w:rPr>
      </w:pPr>
      <w:r w:rsidRPr="00E94D47">
        <w:rPr>
          <w:rFonts w:ascii="Times New Roman" w:eastAsia="Times New Roman" w:hAnsi="Times New Roman" w:cs="Times New Roman"/>
          <w:b/>
        </w:rPr>
        <w:t>Contractual Analysis Framework for Digital Transactions</w:t>
      </w:r>
    </w:p>
    <w:p w14:paraId="75910260" w14:textId="406B987C" w:rsidR="00721404"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Modern Islamic finance scholarship increasingly employs sophisticated contractual analysis methodologies to evaluate complex transactions. The contractual analysis framework typically identifies underlying contract types, evaluates each component's sharia compliance, and assesses whether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aggregate transaction structure maintains overall legitimacy.</w:t>
      </w:r>
    </w:p>
    <w:p w14:paraId="60A1B315" w14:textId="00FC36D9" w:rsidR="00721404"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For QRIS-based donations funded through conventional credit cards, contract decomposition reveals multiple concurrent contracts requiring individual evaluation. </w:t>
      </w:r>
      <w:r w:rsidR="004F3E78" w:rsidRPr="00E94D47">
        <w:rPr>
          <w:rFonts w:ascii="Times New Roman" w:eastAsia="Times New Roman" w:hAnsi="Times New Roman" w:cs="Times New Roman"/>
          <w:bCs/>
        </w:rPr>
        <w:t xml:space="preserve">The fundamental legal basis of a donation lies in the transfer of ownership from the donor to the mosque, which can be classified as a </w:t>
      </w:r>
      <w:proofErr w:type="spellStart"/>
      <w:r w:rsidR="004F3E78" w:rsidRPr="00E94D47">
        <w:rPr>
          <w:rFonts w:ascii="Times New Roman" w:eastAsia="Times New Roman" w:hAnsi="Times New Roman" w:cs="Times New Roman"/>
          <w:bCs/>
        </w:rPr>
        <w:t>hibah</w:t>
      </w:r>
      <w:proofErr w:type="spellEnd"/>
      <w:r w:rsidR="004F3E78" w:rsidRPr="00E94D47">
        <w:rPr>
          <w:rFonts w:ascii="Times New Roman" w:eastAsia="Times New Roman" w:hAnsi="Times New Roman" w:cs="Times New Roman"/>
          <w:bCs/>
        </w:rPr>
        <w:t xml:space="preserve"> contract. This type of contract is characterized by a voluntary transfer of property undertaken without any expectation of compensation or reciprocal benefit, reflecting its unilateral and benevolent nature within Islamic jurisprudence</w:t>
      </w:r>
      <w:r w:rsidRPr="00E94D47">
        <w:rPr>
          <w:rFonts w:ascii="Times New Roman" w:eastAsia="Times New Roman" w:hAnsi="Times New Roman" w:cs="Times New Roman"/>
          <w:bCs/>
          <w:lang w:val="en-ID"/>
        </w:rPr>
        <w:t xml:space="preserve">. Islamic jurisprudence recognizes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xml:space="preserve"> as inherently valid provided donors possess uncoerced intention and proper ownership status.</w:t>
      </w:r>
    </w:p>
    <w:p w14:paraId="0038FBD4" w14:textId="56E053BE" w:rsidR="001F0B4A"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However, when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xml:space="preserve"> execution occurs through QRIS payment mechanisms funded by interest-bearing credit cards, the cleanliness of fund sourcing becomes legally significant. Each secondary contract layer potentially introduces </w:t>
      </w:r>
      <w:r w:rsidR="005E6FB2" w:rsidRPr="00E94D47">
        <w:rPr>
          <w:rFonts w:ascii="Times New Roman" w:eastAsia="Times New Roman" w:hAnsi="Times New Roman" w:cs="Times New Roman"/>
          <w:bCs/>
          <w:lang w:val="en-ID"/>
        </w:rPr>
        <w:t xml:space="preserve">Sharia </w:t>
      </w:r>
      <w:r w:rsidRPr="00E94D47">
        <w:rPr>
          <w:rFonts w:ascii="Times New Roman" w:eastAsia="Times New Roman" w:hAnsi="Times New Roman" w:cs="Times New Roman"/>
          <w:bCs/>
          <w:lang w:val="en-ID"/>
        </w:rPr>
        <w:t>compliance complications, particularly if any layer involves explicit interest charges or other prohibited elements.</w:t>
      </w:r>
    </w:p>
    <w:p w14:paraId="25219B21" w14:textId="77777777" w:rsidR="001F0B4A" w:rsidRPr="00E94D47" w:rsidRDefault="001F0B4A" w:rsidP="00E94D47">
      <w:pPr>
        <w:spacing w:line="240" w:lineRule="auto"/>
        <w:ind w:firstLine="567"/>
        <w:jc w:val="both"/>
        <w:rPr>
          <w:rFonts w:ascii="Times New Roman" w:eastAsia="Times New Roman" w:hAnsi="Times New Roman" w:cs="Times New Roman"/>
          <w:b/>
        </w:rPr>
      </w:pPr>
    </w:p>
    <w:p w14:paraId="154913CA" w14:textId="77777777" w:rsidR="001F0B4A" w:rsidRPr="00E94D47" w:rsidRDefault="001F0B4A"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Research Methods</w:t>
      </w:r>
    </w:p>
    <w:p w14:paraId="2F88E33B" w14:textId="277FF979" w:rsidR="001F0B4A" w:rsidRPr="00E94D47" w:rsidRDefault="001F0B4A" w:rsidP="00E94D47">
      <w:pPr>
        <w:spacing w:line="240" w:lineRule="auto"/>
        <w:rPr>
          <w:rFonts w:ascii="Times New Roman" w:eastAsia="Times New Roman" w:hAnsi="Times New Roman" w:cs="Times New Roman"/>
          <w:b/>
          <w:lang w:val="en-US"/>
        </w:rPr>
      </w:pPr>
      <w:r w:rsidRPr="00E94D47">
        <w:rPr>
          <w:rFonts w:ascii="Times New Roman" w:eastAsia="Times New Roman" w:hAnsi="Times New Roman" w:cs="Times New Roman"/>
          <w:b/>
          <w:lang w:val="en-US"/>
        </w:rPr>
        <w:t xml:space="preserve">Research Design and </w:t>
      </w:r>
      <w:r w:rsidR="00721404" w:rsidRPr="00E94D47">
        <w:rPr>
          <w:rFonts w:ascii="Times New Roman" w:eastAsia="Times New Roman" w:hAnsi="Times New Roman" w:cs="Times New Roman"/>
          <w:b/>
          <w:lang w:val="en-US"/>
        </w:rPr>
        <w:t>Approach</w:t>
      </w:r>
    </w:p>
    <w:p w14:paraId="0C00072B" w14:textId="00DD07A4" w:rsidR="00721404"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This research employs a qualitative methodology combining multiple analytical approaches to generate </w:t>
      </w:r>
      <w:r w:rsidR="005E6FB2" w:rsidRPr="00E94D47">
        <w:rPr>
          <w:rFonts w:ascii="Times New Roman" w:eastAsia="Times New Roman" w:hAnsi="Times New Roman" w:cs="Times New Roman"/>
          <w:bCs/>
          <w:lang w:val="en-ID"/>
        </w:rPr>
        <w:t xml:space="preserve">a </w:t>
      </w:r>
      <w:r w:rsidRPr="00E94D47">
        <w:rPr>
          <w:rFonts w:ascii="Times New Roman" w:eastAsia="Times New Roman" w:hAnsi="Times New Roman" w:cs="Times New Roman"/>
          <w:bCs/>
          <w:lang w:val="en-ID"/>
        </w:rPr>
        <w:t xml:space="preserve">comprehensive understanding of QRIS-based mosque donations within Islamic jurisprudential frameworks. Specifically, the study integrates doctrinal legal analysis of Islamic jurisprudence, systematic analysis of relevant DSN-MUI fatwas, and empirical investigation through semi-structured interviews </w:t>
      </w:r>
      <w:proofErr w:type="spellStart"/>
      <w:r w:rsidRPr="00E94D47">
        <w:rPr>
          <w:rFonts w:ascii="Times New Roman" w:eastAsia="Times New Roman" w:hAnsi="Times New Roman" w:cs="Times New Roman"/>
          <w:bCs/>
          <w:lang w:val="en-ID"/>
        </w:rPr>
        <w:t>analyzed</w:t>
      </w:r>
      <w:proofErr w:type="spellEnd"/>
      <w:r w:rsidRPr="00E94D47">
        <w:rPr>
          <w:rFonts w:ascii="Times New Roman" w:eastAsia="Times New Roman" w:hAnsi="Times New Roman" w:cs="Times New Roman"/>
          <w:bCs/>
          <w:lang w:val="en-ID"/>
        </w:rPr>
        <w:t xml:space="preserve"> using thematic analysis methodology.</w:t>
      </w:r>
    </w:p>
    <w:p w14:paraId="7503A61C" w14:textId="77777777" w:rsidR="00721404"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Thematic analysis, as articulated by Braun and Clarke (2019), constitutes a systematic qualitative research approach emphasizing pattern identification across datasets through iterative coding and theme development. Rather than imposing predetermined theoretical frameworks, thematic analysis enables inductive pattern recognition emerging from raw data itself. Braun and Clarke (2019) establish a six-phase thematic analysis process: (1) familiarization with data through repeated reading and immersion; (2) initial code generation through systematic line-by-line analysis; (3) theme collation through grouping related codes into preliminary thematic structures; (4) theme review ensuring thematic coherence and data fit; (5) theme refinement and naming for clarity and precision; and (6) production of final thematic structure with illustrative data extracts.</w:t>
      </w:r>
    </w:p>
    <w:p w14:paraId="6862BDEE" w14:textId="76F98A32" w:rsidR="00721404" w:rsidRPr="00E94D47" w:rsidRDefault="00721404"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This thematic analysis approach proves particularly appropriate for investigating mosque administrator and Islamic scholar perspectives regarding QRIS-based donations, as it generates </w:t>
      </w:r>
      <w:r w:rsidR="005E6FB2" w:rsidRPr="00E94D47">
        <w:rPr>
          <w:rFonts w:ascii="Times New Roman" w:eastAsia="Times New Roman" w:hAnsi="Times New Roman" w:cs="Times New Roman"/>
          <w:bCs/>
          <w:lang w:val="en-ID"/>
        </w:rPr>
        <w:t xml:space="preserve">a </w:t>
      </w:r>
      <w:r w:rsidRPr="00E94D47">
        <w:rPr>
          <w:rFonts w:ascii="Times New Roman" w:eastAsia="Times New Roman" w:hAnsi="Times New Roman" w:cs="Times New Roman"/>
          <w:bCs/>
          <w:lang w:val="en-ID"/>
        </w:rPr>
        <w:t xml:space="preserve">rich understanding of stakeholder viewpoints without constraining findings within predetermined theoretical assumptions. </w:t>
      </w:r>
      <w:r w:rsidR="002F07AF" w:rsidRPr="00E94D47">
        <w:rPr>
          <w:rFonts w:ascii="Times New Roman" w:eastAsia="Times New Roman" w:hAnsi="Times New Roman" w:cs="Times New Roman"/>
          <w:bCs/>
        </w:rPr>
        <w:t xml:space="preserve">The doctrinal legal analysis approach entails a systematic and in-depth evaluation of Islamic legal sources, including Qur’anic foundations, prophetic traditions, juristic interpretations, and established scholarly agreements, to assess the permissibility and normative validity of transactional practices. </w:t>
      </w:r>
      <w:r w:rsidRPr="00E94D47">
        <w:rPr>
          <w:rFonts w:ascii="Times New Roman" w:eastAsia="Times New Roman" w:hAnsi="Times New Roman" w:cs="Times New Roman"/>
          <w:bCs/>
          <w:lang w:val="en-ID"/>
        </w:rPr>
        <w:t>This component establishes the theoretical foundation for subsequent empirical analysis, ensuring research conclusions remain grounded in established Islamic legal principles rather than normative preference or pragmatic expedience.</w:t>
      </w:r>
    </w:p>
    <w:p w14:paraId="7D5DACBD" w14:textId="5E3788C3" w:rsidR="00E311E2" w:rsidRPr="00E94D47" w:rsidRDefault="00E311E2"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Taken together, this design constitutes a multiple-analytical approach that integrates: (1) doctrinal legal analysis of classical and contemporary </w:t>
      </w:r>
      <w:proofErr w:type="spellStart"/>
      <w:r w:rsidRPr="00E94D47">
        <w:rPr>
          <w:rFonts w:ascii="Times New Roman" w:eastAsia="Times New Roman" w:hAnsi="Times New Roman" w:cs="Times New Roman"/>
          <w:bCs/>
          <w:lang w:val="en-ID"/>
        </w:rPr>
        <w:t>fiqh</w:t>
      </w:r>
      <w:proofErr w:type="spellEnd"/>
      <w:r w:rsidRPr="00E94D47">
        <w:rPr>
          <w:rFonts w:ascii="Times New Roman" w:eastAsia="Times New Roman" w:hAnsi="Times New Roman" w:cs="Times New Roman"/>
          <w:bCs/>
          <w:lang w:val="en-ID"/>
        </w:rPr>
        <w:t xml:space="preserve"> </w:t>
      </w:r>
      <w:proofErr w:type="spellStart"/>
      <w:r w:rsidRPr="00E94D47">
        <w:rPr>
          <w:rFonts w:ascii="Times New Roman" w:eastAsia="Times New Roman" w:hAnsi="Times New Roman" w:cs="Times New Roman"/>
          <w:bCs/>
          <w:lang w:val="en-ID"/>
        </w:rPr>
        <w:t>muamalah</w:t>
      </w:r>
      <w:proofErr w:type="spellEnd"/>
      <w:r w:rsidRPr="00E94D47">
        <w:rPr>
          <w:rFonts w:ascii="Times New Roman" w:eastAsia="Times New Roman" w:hAnsi="Times New Roman" w:cs="Times New Roman"/>
          <w:bCs/>
          <w:lang w:val="en-ID"/>
        </w:rPr>
        <w:t xml:space="preserve">; (2) structured review of DSN-MUI fatwas and related regulatory texts; and (3) thematic analysis of qualitative interview </w:t>
      </w:r>
      <w:r w:rsidRPr="00E94D47">
        <w:rPr>
          <w:rFonts w:ascii="Times New Roman" w:eastAsia="Times New Roman" w:hAnsi="Times New Roman" w:cs="Times New Roman"/>
          <w:bCs/>
          <w:lang w:val="en-ID"/>
        </w:rPr>
        <w:lastRenderedPageBreak/>
        <w:t xml:space="preserve">data. The Results section is therefore organized to first present the contractual and doctrinal analysis, followed by the empirically derived themes from the six-phase Braun and Clarke (2019) process, and finally an integrated assessment of </w:t>
      </w:r>
      <w:r w:rsidR="005E6FB2" w:rsidRPr="00E94D47">
        <w:rPr>
          <w:rFonts w:ascii="Times New Roman" w:eastAsia="Times New Roman" w:hAnsi="Times New Roman" w:cs="Times New Roman"/>
          <w:bCs/>
          <w:lang w:val="en-ID"/>
        </w:rPr>
        <w:t xml:space="preserve">Sharia </w:t>
      </w:r>
      <w:r w:rsidRPr="00E94D47">
        <w:rPr>
          <w:rFonts w:ascii="Times New Roman" w:eastAsia="Times New Roman" w:hAnsi="Times New Roman" w:cs="Times New Roman"/>
          <w:bCs/>
          <w:lang w:val="en-ID"/>
        </w:rPr>
        <w:t>compliance risks and governance implications.</w:t>
      </w:r>
    </w:p>
    <w:p w14:paraId="5900D3FE" w14:textId="77777777" w:rsidR="001F0B4A" w:rsidRPr="00E94D47" w:rsidRDefault="001F0B4A" w:rsidP="00E94D47">
      <w:pPr>
        <w:spacing w:line="240" w:lineRule="auto"/>
        <w:rPr>
          <w:rFonts w:ascii="Times New Roman" w:eastAsia="Times New Roman" w:hAnsi="Times New Roman" w:cs="Times New Roman"/>
          <w:bCs/>
        </w:rPr>
      </w:pPr>
    </w:p>
    <w:p w14:paraId="0FD192B0" w14:textId="0E6D7CAE" w:rsidR="001F0B4A" w:rsidRPr="00E94D47" w:rsidRDefault="0008071A" w:rsidP="00E94D47">
      <w:pPr>
        <w:spacing w:line="240" w:lineRule="auto"/>
        <w:rPr>
          <w:rFonts w:ascii="Times New Roman" w:eastAsia="Times New Roman" w:hAnsi="Times New Roman" w:cs="Times New Roman"/>
          <w:b/>
          <w:bCs/>
          <w:lang w:val="en-US"/>
        </w:rPr>
      </w:pPr>
      <w:r w:rsidRPr="00E94D47">
        <w:rPr>
          <w:rFonts w:ascii="Times New Roman" w:eastAsia="Times New Roman" w:hAnsi="Times New Roman" w:cs="Times New Roman"/>
          <w:b/>
          <w:bCs/>
        </w:rPr>
        <w:t>Data Sources and Collection Procedures</w:t>
      </w:r>
    </w:p>
    <w:p w14:paraId="18375EDD" w14:textId="77777777" w:rsidR="0008071A" w:rsidRPr="00E94D47" w:rsidRDefault="0008071A"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Primary data collection occurred through semi-structured interviews with seventeen participants recruited through purposive sampling methodology. Participant categories included: (1) ten mosque administrators representing diverse mosque organizational structures and donor demographics; (2) five Islamic finance scholars specializing in contemporary financial issues; and (3) two DSN-MUI advisors possessing direct knowledge of fatwa development processes.</w:t>
      </w:r>
    </w:p>
    <w:p w14:paraId="4EBC399D" w14:textId="13869090" w:rsidR="0008071A" w:rsidRPr="00E94D47" w:rsidRDefault="0008071A"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Interviews were conducted over </w:t>
      </w:r>
      <w:r w:rsidR="005E6FB2" w:rsidRPr="00E94D47">
        <w:rPr>
          <w:rFonts w:ascii="Times New Roman" w:eastAsia="Times New Roman" w:hAnsi="Times New Roman" w:cs="Times New Roman"/>
          <w:bCs/>
          <w:lang w:val="en-ID"/>
        </w:rPr>
        <w:t>four months</w:t>
      </w:r>
      <w:r w:rsidRPr="00E94D47">
        <w:rPr>
          <w:rFonts w:ascii="Times New Roman" w:eastAsia="Times New Roman" w:hAnsi="Times New Roman" w:cs="Times New Roman"/>
          <w:bCs/>
          <w:lang w:val="en-ID"/>
        </w:rPr>
        <w:t xml:space="preserve"> (June-September 2025) at participant locations or virtual environments as preferred. Each interview lasted 45-90 minutes, exploring participants' perspectives on QRIS utilization, credit card payment acceptability, perceived sharia compliance concerns, governance mechanisms currently implemented, and recommendations for enhanced practices. All interviews were audio-recorded with explicit participant consent, subsequently transcribed verbatim, and </w:t>
      </w:r>
      <w:proofErr w:type="spellStart"/>
      <w:r w:rsidRPr="00E94D47">
        <w:rPr>
          <w:rFonts w:ascii="Times New Roman" w:eastAsia="Times New Roman" w:hAnsi="Times New Roman" w:cs="Times New Roman"/>
          <w:bCs/>
          <w:lang w:val="en-ID"/>
        </w:rPr>
        <w:t>analyzed</w:t>
      </w:r>
      <w:proofErr w:type="spellEnd"/>
      <w:r w:rsidRPr="00E94D47">
        <w:rPr>
          <w:rFonts w:ascii="Times New Roman" w:eastAsia="Times New Roman" w:hAnsi="Times New Roman" w:cs="Times New Roman"/>
          <w:bCs/>
          <w:lang w:val="en-ID"/>
        </w:rPr>
        <w:t xml:space="preserve"> using the Braun and Clarke (2019) thematic analysis framework described below.</w:t>
      </w:r>
    </w:p>
    <w:p w14:paraId="3AF3E5E9" w14:textId="2C64911F" w:rsidR="001F0B4A" w:rsidRPr="00E94D47" w:rsidRDefault="0008071A" w:rsidP="00E94D47">
      <w:pPr>
        <w:spacing w:line="240" w:lineRule="auto"/>
        <w:ind w:firstLine="567"/>
        <w:jc w:val="both"/>
        <w:rPr>
          <w:rFonts w:ascii="Times New Roman" w:eastAsia="Times New Roman" w:hAnsi="Times New Roman" w:cs="Times New Roman"/>
          <w:bCs/>
          <w:lang w:val="en-US"/>
        </w:rPr>
      </w:pPr>
      <w:r w:rsidRPr="00E94D47">
        <w:rPr>
          <w:rFonts w:ascii="Times New Roman" w:eastAsia="Times New Roman" w:hAnsi="Times New Roman" w:cs="Times New Roman"/>
          <w:bCs/>
          <w:lang w:val="en-ID"/>
        </w:rPr>
        <w:t xml:space="preserve">Secondary data sources included published DSN-MUI fatwas (particularly Fatwas 92/2014 and 116/2017), Islamic jurisprudential texts addressing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charity, and contemporary contract analysis, Indonesian regulatory guidance on digital payment systems from Bank Indonesia (Bank Indonesia, 2019), and published academic literature on Islamic finance technology adoption.</w:t>
      </w:r>
    </w:p>
    <w:p w14:paraId="6A5073EB" w14:textId="77777777" w:rsidR="00E311E2" w:rsidRPr="00E94D47" w:rsidRDefault="00E311E2" w:rsidP="00E94D47">
      <w:pPr>
        <w:spacing w:line="240" w:lineRule="auto"/>
        <w:ind w:firstLine="567"/>
        <w:rPr>
          <w:rFonts w:ascii="Times New Roman" w:eastAsia="Times New Roman" w:hAnsi="Times New Roman" w:cs="Times New Roman"/>
          <w:bCs/>
          <w:lang w:val="en-US"/>
        </w:rPr>
      </w:pPr>
    </w:p>
    <w:p w14:paraId="3B4221EB" w14:textId="5ABB14E2" w:rsidR="00E311E2" w:rsidRPr="00E94D47" w:rsidRDefault="00E311E2"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Results</w:t>
      </w:r>
    </w:p>
    <w:p w14:paraId="080551D3" w14:textId="77777777" w:rsidR="00695C73" w:rsidRPr="00E94D47" w:rsidRDefault="00695C73"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Participant Profile and Data Collection</w:t>
      </w:r>
    </w:p>
    <w:p w14:paraId="3E580A81" w14:textId="69D8B24B" w:rsidR="00695C73" w:rsidRPr="00E94D47" w:rsidRDefault="00695C73" w:rsidP="00E94D47">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Primary data collection occurred through semi-structured interviews with seventeen participants recruited through purposive sampling methodology between June and September 2025. Each interview lasted 25-40 minutes and was audio-recorded with explicit consent, subsequently transcribed verbatim, and analyzed using systematic thematic analysis.</w:t>
      </w:r>
    </w:p>
    <w:p w14:paraId="1DB1CF0E" w14:textId="77777777" w:rsidR="00E94D47" w:rsidRPr="00E94D47" w:rsidRDefault="00E94D47" w:rsidP="00E94D47">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Participant categories included ten mosque administrators representing diverse mosque organizational structures and donor demographics: 3 administrators from large urban mosques (Jakarta) with 1,000+ regular congregants and high QRIS transaction volumes, 2 administrators from university mosques serving predominantly young tech-savvy donor populations, 3 administrators from traditional community mosques (West Jakarta) with volunteer-based management, and 2 administrators from corporate/workplace mosques (Central and South Jakarta) with professional donor bases.</w:t>
      </w:r>
    </w:p>
    <w:p w14:paraId="49611C69" w14:textId="77777777" w:rsidR="00E94D47" w:rsidRPr="00E94D47" w:rsidRDefault="00E94D47" w:rsidP="00E94D47">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 xml:space="preserve">Five Islamic finance scholars participated, specializing in contemporary financial issues: 3 scholars from Islamic universities with expertise in </w:t>
      </w:r>
      <w:proofErr w:type="spellStart"/>
      <w:r w:rsidRPr="00E94D47">
        <w:rPr>
          <w:rFonts w:ascii="Times New Roman" w:eastAsia="Times New Roman" w:hAnsi="Times New Roman" w:cs="Times New Roman"/>
          <w:bCs/>
        </w:rPr>
        <w:t>fiqh</w:t>
      </w:r>
      <w:proofErr w:type="spellEnd"/>
      <w:r w:rsidRPr="00E94D47">
        <w:rPr>
          <w:rFonts w:ascii="Times New Roman" w:eastAsia="Times New Roman" w:hAnsi="Times New Roman" w:cs="Times New Roman"/>
          <w:bCs/>
        </w:rPr>
        <w:t xml:space="preserve"> </w:t>
      </w:r>
      <w:proofErr w:type="spellStart"/>
      <w:r w:rsidRPr="00E94D47">
        <w:rPr>
          <w:rFonts w:ascii="Times New Roman" w:eastAsia="Times New Roman" w:hAnsi="Times New Roman" w:cs="Times New Roman"/>
          <w:bCs/>
        </w:rPr>
        <w:t>muamalah</w:t>
      </w:r>
      <w:proofErr w:type="spellEnd"/>
      <w:r w:rsidRPr="00E94D47">
        <w:rPr>
          <w:rFonts w:ascii="Times New Roman" w:eastAsia="Times New Roman" w:hAnsi="Times New Roman" w:cs="Times New Roman"/>
          <w:bCs/>
        </w:rPr>
        <w:t xml:space="preserve"> and digital Islamic finance, 1 scholar-practitioner with a background in Islamic banking operations, and 1 scholar specializing in fintech and sharia compliance technology. Two DSN-MUI advisors possessing direct knowledge of fatwa development processes also participated. Both advisors had been involved in the formulation and review of DSN-MUI fatwas related to payment instruments and digital finance.</w:t>
      </w:r>
    </w:p>
    <w:p w14:paraId="4FFA9649" w14:textId="77777777" w:rsidR="00BA2ACC" w:rsidRDefault="00BA2ACC" w:rsidP="00E94D47">
      <w:pPr>
        <w:spacing w:line="240" w:lineRule="auto"/>
        <w:rPr>
          <w:rFonts w:ascii="Times New Roman" w:eastAsia="Times New Roman" w:hAnsi="Times New Roman" w:cs="Times New Roman"/>
          <w:bCs/>
        </w:rPr>
      </w:pPr>
    </w:p>
    <w:p w14:paraId="06210031" w14:textId="77777777" w:rsidR="00E94D47" w:rsidRDefault="00E94D47" w:rsidP="00E94D47">
      <w:pPr>
        <w:spacing w:line="240" w:lineRule="auto"/>
        <w:rPr>
          <w:rFonts w:ascii="Times New Roman" w:eastAsia="Times New Roman" w:hAnsi="Times New Roman" w:cs="Times New Roman"/>
          <w:bCs/>
        </w:rPr>
      </w:pPr>
    </w:p>
    <w:p w14:paraId="15D0ECA7" w14:textId="77777777" w:rsidR="00E94D47" w:rsidRDefault="00E94D47" w:rsidP="00E94D47">
      <w:pPr>
        <w:spacing w:line="240" w:lineRule="auto"/>
        <w:rPr>
          <w:rFonts w:ascii="Times New Roman" w:eastAsia="Times New Roman" w:hAnsi="Times New Roman" w:cs="Times New Roman"/>
          <w:bCs/>
        </w:rPr>
      </w:pPr>
    </w:p>
    <w:p w14:paraId="05185613" w14:textId="77777777" w:rsidR="00E94D47" w:rsidRDefault="00E94D47" w:rsidP="00E94D47">
      <w:pPr>
        <w:spacing w:line="240" w:lineRule="auto"/>
        <w:rPr>
          <w:rFonts w:ascii="Times New Roman" w:eastAsia="Times New Roman" w:hAnsi="Times New Roman" w:cs="Times New Roman"/>
          <w:bCs/>
        </w:rPr>
      </w:pPr>
    </w:p>
    <w:p w14:paraId="5EFAAA3B" w14:textId="77777777" w:rsidR="00E94D47" w:rsidRDefault="00E94D47" w:rsidP="00E94D47">
      <w:pPr>
        <w:spacing w:line="240" w:lineRule="auto"/>
        <w:rPr>
          <w:rFonts w:ascii="Times New Roman" w:eastAsia="Times New Roman" w:hAnsi="Times New Roman" w:cs="Times New Roman"/>
          <w:bCs/>
        </w:rPr>
      </w:pPr>
    </w:p>
    <w:p w14:paraId="22DDB29D" w14:textId="77777777" w:rsidR="00E94D47" w:rsidRDefault="00E94D47" w:rsidP="00E94D47">
      <w:pPr>
        <w:spacing w:line="240" w:lineRule="auto"/>
        <w:rPr>
          <w:rFonts w:ascii="Times New Roman" w:eastAsia="Times New Roman" w:hAnsi="Times New Roman" w:cs="Times New Roman"/>
          <w:bCs/>
        </w:rPr>
      </w:pPr>
    </w:p>
    <w:p w14:paraId="32E1A171" w14:textId="77777777" w:rsidR="00E94D47" w:rsidRPr="00E94D47" w:rsidRDefault="00E94D47" w:rsidP="00E94D47">
      <w:pPr>
        <w:spacing w:line="240" w:lineRule="auto"/>
        <w:rPr>
          <w:rFonts w:ascii="Times New Roman" w:eastAsia="Times New Roman" w:hAnsi="Times New Roman" w:cs="Times New Roman"/>
          <w:bCs/>
        </w:rPr>
      </w:pPr>
    </w:p>
    <w:p w14:paraId="5B982DCB" w14:textId="64B3BDE5" w:rsidR="007A306A" w:rsidRDefault="00704B6C" w:rsidP="00E94D47">
      <w:pPr>
        <w:spacing w:line="240" w:lineRule="auto"/>
        <w:jc w:val="center"/>
        <w:rPr>
          <w:rFonts w:ascii="Times New Roman" w:eastAsia="Times New Roman" w:hAnsi="Times New Roman" w:cs="Times New Roman"/>
          <w:bCs/>
        </w:rPr>
      </w:pPr>
      <w:r w:rsidRPr="00E94D47">
        <w:rPr>
          <w:rFonts w:ascii="Times New Roman" w:eastAsia="Times New Roman" w:hAnsi="Times New Roman" w:cs="Times New Roman"/>
          <w:b/>
        </w:rPr>
        <w:lastRenderedPageBreak/>
        <w:t xml:space="preserve">Table 1. </w:t>
      </w:r>
      <w:r w:rsidRPr="00E94D47">
        <w:rPr>
          <w:rFonts w:ascii="Times New Roman" w:eastAsia="Times New Roman" w:hAnsi="Times New Roman" w:cs="Times New Roman"/>
          <w:bCs/>
        </w:rPr>
        <w:t>Respondent Demographic Data</w:t>
      </w:r>
    </w:p>
    <w:p w14:paraId="423548D6" w14:textId="77777777" w:rsidR="00704B6C" w:rsidRPr="00E94D47" w:rsidRDefault="00704B6C" w:rsidP="00E94D47">
      <w:pPr>
        <w:spacing w:line="240" w:lineRule="auto"/>
        <w:rPr>
          <w:rFonts w:ascii="Times New Roman" w:eastAsia="Times New Roman" w:hAnsi="Times New Roman" w:cs="Times New Roman"/>
          <w:b/>
        </w:rPr>
      </w:pPr>
    </w:p>
    <w:tbl>
      <w:tblPr>
        <w:tblW w:w="5000" w:type="pct"/>
        <w:jc w:val="center"/>
        <w:tblLook w:val="0400" w:firstRow="0" w:lastRow="0" w:firstColumn="0" w:lastColumn="0" w:noHBand="0" w:noVBand="1"/>
      </w:tblPr>
      <w:tblGrid>
        <w:gridCol w:w="1307"/>
        <w:gridCol w:w="1483"/>
        <w:gridCol w:w="863"/>
        <w:gridCol w:w="1184"/>
        <w:gridCol w:w="1378"/>
        <w:gridCol w:w="1218"/>
        <w:gridCol w:w="1107"/>
      </w:tblGrid>
      <w:tr w:rsidR="003261E6" w:rsidRPr="00E94D47" w14:paraId="2B16FF31" w14:textId="4DE8D80E" w:rsidTr="003261E6">
        <w:trPr>
          <w:trHeight w:val="467"/>
          <w:jc w:val="center"/>
        </w:trPr>
        <w:tc>
          <w:tcPr>
            <w:tcW w:w="766" w:type="pct"/>
            <w:tcBorders>
              <w:top w:val="single" w:sz="4" w:space="0" w:color="auto"/>
              <w:bottom w:val="single" w:sz="4" w:space="0" w:color="auto"/>
            </w:tcBorders>
            <w:vAlign w:val="center"/>
          </w:tcPr>
          <w:p w14:paraId="64A0F013" w14:textId="7FE8652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Respondents</w:t>
            </w:r>
          </w:p>
        </w:tc>
        <w:tc>
          <w:tcPr>
            <w:tcW w:w="868" w:type="pct"/>
            <w:tcBorders>
              <w:top w:val="single" w:sz="4" w:space="0" w:color="auto"/>
              <w:bottom w:val="single" w:sz="4" w:space="0" w:color="auto"/>
            </w:tcBorders>
            <w:vAlign w:val="center"/>
          </w:tcPr>
          <w:p w14:paraId="0D26F879" w14:textId="2D7C9B6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Respondents Category</w:t>
            </w:r>
          </w:p>
        </w:tc>
        <w:tc>
          <w:tcPr>
            <w:tcW w:w="505" w:type="pct"/>
            <w:tcBorders>
              <w:top w:val="single" w:sz="4" w:space="0" w:color="auto"/>
              <w:bottom w:val="single" w:sz="4" w:space="0" w:color="auto"/>
            </w:tcBorders>
            <w:vAlign w:val="center"/>
          </w:tcPr>
          <w:p w14:paraId="590A7E06" w14:textId="1DC28B1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Gender</w:t>
            </w:r>
          </w:p>
        </w:tc>
        <w:tc>
          <w:tcPr>
            <w:tcW w:w="693" w:type="pct"/>
            <w:tcBorders>
              <w:top w:val="single" w:sz="4" w:space="0" w:color="auto"/>
              <w:bottom w:val="single" w:sz="4" w:space="0" w:color="auto"/>
            </w:tcBorders>
            <w:vAlign w:val="center"/>
          </w:tcPr>
          <w:p w14:paraId="0291A32B" w14:textId="6EC47A24"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Position</w:t>
            </w:r>
          </w:p>
        </w:tc>
        <w:tc>
          <w:tcPr>
            <w:tcW w:w="807" w:type="pct"/>
            <w:tcBorders>
              <w:top w:val="single" w:sz="4" w:space="0" w:color="auto"/>
              <w:bottom w:val="single" w:sz="4" w:space="0" w:color="auto"/>
            </w:tcBorders>
            <w:vAlign w:val="center"/>
          </w:tcPr>
          <w:p w14:paraId="282D6D2F" w14:textId="70F3491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Institution</w:t>
            </w:r>
          </w:p>
        </w:tc>
        <w:tc>
          <w:tcPr>
            <w:tcW w:w="713" w:type="pct"/>
            <w:tcBorders>
              <w:top w:val="single" w:sz="4" w:space="0" w:color="auto"/>
              <w:bottom w:val="single" w:sz="4" w:space="0" w:color="auto"/>
            </w:tcBorders>
            <w:vAlign w:val="center"/>
          </w:tcPr>
          <w:p w14:paraId="78B55E09" w14:textId="76E3A228" w:rsidR="003261E6" w:rsidRPr="003261E6" w:rsidRDefault="003261E6" w:rsidP="003261E6">
            <w:pPr>
              <w:spacing w:line="240" w:lineRule="auto"/>
              <w:jc w:val="center"/>
              <w:rPr>
                <w:rFonts w:ascii="Times New Roman" w:eastAsia="Times New Roman" w:hAnsi="Times New Roman" w:cs="Times New Roman"/>
                <w:b/>
                <w:bCs/>
                <w:sz w:val="20"/>
                <w:szCs w:val="20"/>
              </w:rPr>
            </w:pPr>
            <w:r w:rsidRPr="00E94D47">
              <w:rPr>
                <w:rFonts w:ascii="Times New Roman" w:eastAsia="Times New Roman" w:hAnsi="Times New Roman" w:cs="Times New Roman"/>
                <w:b/>
                <w:bCs/>
                <w:sz w:val="20"/>
                <w:szCs w:val="20"/>
              </w:rPr>
              <w:t>Experience (Years)</w:t>
            </w:r>
          </w:p>
        </w:tc>
        <w:tc>
          <w:tcPr>
            <w:tcW w:w="648" w:type="pct"/>
            <w:tcBorders>
              <w:top w:val="single" w:sz="4" w:space="0" w:color="auto"/>
              <w:bottom w:val="single" w:sz="4" w:space="0" w:color="auto"/>
            </w:tcBorders>
            <w:vAlign w:val="center"/>
          </w:tcPr>
          <w:p w14:paraId="60E56E03" w14:textId="1270BDC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
                <w:bCs/>
                <w:sz w:val="20"/>
                <w:szCs w:val="20"/>
              </w:rPr>
              <w:t>Lokasi</w:t>
            </w:r>
          </w:p>
        </w:tc>
      </w:tr>
      <w:tr w:rsidR="003261E6" w:rsidRPr="00E94D47" w14:paraId="2F1147F9" w14:textId="5CBA54E9" w:rsidTr="003261E6">
        <w:trPr>
          <w:trHeight w:val="290"/>
          <w:jc w:val="center"/>
        </w:trPr>
        <w:tc>
          <w:tcPr>
            <w:tcW w:w="766" w:type="pct"/>
            <w:tcBorders>
              <w:top w:val="single" w:sz="4" w:space="0" w:color="auto"/>
              <w:bottom w:val="single" w:sz="4" w:space="0" w:color="auto"/>
            </w:tcBorders>
          </w:tcPr>
          <w:p w14:paraId="0B41D6D4" w14:textId="3DB55F4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P01</w:t>
            </w:r>
          </w:p>
        </w:tc>
        <w:tc>
          <w:tcPr>
            <w:tcW w:w="868" w:type="pct"/>
            <w:tcBorders>
              <w:top w:val="single" w:sz="4" w:space="0" w:color="auto"/>
              <w:bottom w:val="single" w:sz="4" w:space="0" w:color="auto"/>
            </w:tcBorders>
          </w:tcPr>
          <w:p w14:paraId="77DB31C5" w14:textId="4AC11AA9" w:rsidR="003261E6" w:rsidRPr="00E94D47" w:rsidRDefault="003261E6" w:rsidP="003261E6">
            <w:pPr>
              <w:spacing w:line="240" w:lineRule="auto"/>
              <w:jc w:val="center"/>
              <w:rPr>
                <w:rFonts w:ascii="Times New Roman" w:eastAsia="Times New Roman" w:hAnsi="Times New Roman" w:cs="Times New Roman"/>
                <w:bCs/>
                <w:sz w:val="20"/>
                <w:szCs w:val="20"/>
                <w:lang w:val="en-ID"/>
              </w:rPr>
            </w:pPr>
            <w:r w:rsidRPr="00E94D47">
              <w:rPr>
                <w:rFonts w:ascii="Times New Roman" w:eastAsia="Times New Roman" w:hAnsi="Times New Roman" w:cs="Times New Roman"/>
                <w:bCs/>
                <w:sz w:val="20"/>
                <w:szCs w:val="20"/>
                <w:lang w:val="en-ID"/>
              </w:rPr>
              <w:t>Mosque Administrator</w:t>
            </w:r>
          </w:p>
        </w:tc>
        <w:tc>
          <w:tcPr>
            <w:tcW w:w="505" w:type="pct"/>
            <w:tcBorders>
              <w:top w:val="single" w:sz="4" w:space="0" w:color="auto"/>
              <w:bottom w:val="single" w:sz="4" w:space="0" w:color="auto"/>
            </w:tcBorders>
          </w:tcPr>
          <w:p w14:paraId="48CDB794" w14:textId="28D5B275" w:rsidR="003261E6" w:rsidRPr="00E94D47" w:rsidRDefault="003261E6" w:rsidP="003261E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1708769E" w14:textId="35C44A7A" w:rsidR="003261E6" w:rsidRPr="00E94D47" w:rsidRDefault="003261E6" w:rsidP="003261E6">
            <w:pPr>
              <w:spacing w:line="240" w:lineRule="auto"/>
              <w:jc w:val="center"/>
              <w:rPr>
                <w:rFonts w:ascii="Times New Roman" w:eastAsia="Times New Roman" w:hAnsi="Times New Roman" w:cs="Times New Roman"/>
                <w:bCs/>
                <w:sz w:val="20"/>
                <w:szCs w:val="20"/>
                <w:lang w:val="en-ID"/>
              </w:rPr>
            </w:pPr>
            <w:r w:rsidRPr="00E94D47">
              <w:rPr>
                <w:rFonts w:ascii="Times New Roman" w:eastAsia="Times New Roman" w:hAnsi="Times New Roman" w:cs="Times New Roman"/>
                <w:bCs/>
                <w:sz w:val="20"/>
                <w:szCs w:val="20"/>
                <w:lang w:val="en-ID"/>
              </w:rPr>
              <w:t>Secretary</w:t>
            </w:r>
          </w:p>
        </w:tc>
        <w:tc>
          <w:tcPr>
            <w:tcW w:w="807" w:type="pct"/>
            <w:tcBorders>
              <w:top w:val="single" w:sz="4" w:space="0" w:color="auto"/>
              <w:bottom w:val="single" w:sz="4" w:space="0" w:color="auto"/>
            </w:tcBorders>
          </w:tcPr>
          <w:p w14:paraId="3ABB5AAC" w14:textId="00E182E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Agung Al-Azhar</w:t>
            </w:r>
          </w:p>
        </w:tc>
        <w:tc>
          <w:tcPr>
            <w:tcW w:w="713" w:type="pct"/>
            <w:tcBorders>
              <w:top w:val="single" w:sz="4" w:space="0" w:color="auto"/>
              <w:bottom w:val="single" w:sz="4" w:space="0" w:color="auto"/>
            </w:tcBorders>
          </w:tcPr>
          <w:p w14:paraId="73585717" w14:textId="6667CD2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10</w:t>
            </w:r>
          </w:p>
        </w:tc>
        <w:tc>
          <w:tcPr>
            <w:tcW w:w="648" w:type="pct"/>
            <w:tcBorders>
              <w:top w:val="single" w:sz="4" w:space="0" w:color="auto"/>
              <w:bottom w:val="single" w:sz="4" w:space="0" w:color="auto"/>
            </w:tcBorders>
          </w:tcPr>
          <w:p w14:paraId="1F121581" w14:textId="0E10241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Jakarta</w:t>
            </w:r>
          </w:p>
        </w:tc>
      </w:tr>
      <w:tr w:rsidR="003261E6" w:rsidRPr="00E94D47" w14:paraId="2FA8969A" w14:textId="13CFAAFE" w:rsidTr="003261E6">
        <w:trPr>
          <w:trHeight w:val="290"/>
          <w:jc w:val="center"/>
        </w:trPr>
        <w:tc>
          <w:tcPr>
            <w:tcW w:w="766" w:type="pct"/>
            <w:tcBorders>
              <w:top w:val="single" w:sz="4" w:space="0" w:color="auto"/>
              <w:bottom w:val="single" w:sz="4" w:space="0" w:color="auto"/>
            </w:tcBorders>
          </w:tcPr>
          <w:p w14:paraId="192268FB" w14:textId="2CCBBAD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P02</w:t>
            </w:r>
          </w:p>
        </w:tc>
        <w:tc>
          <w:tcPr>
            <w:tcW w:w="868" w:type="pct"/>
            <w:tcBorders>
              <w:top w:val="single" w:sz="4" w:space="0" w:color="auto"/>
              <w:bottom w:val="single" w:sz="4" w:space="0" w:color="auto"/>
            </w:tcBorders>
          </w:tcPr>
          <w:p w14:paraId="58221C68" w14:textId="257845E2"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496FC02F" w14:textId="3C5772D8"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5F2CB133" w14:textId="670B041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Treasurer</w:t>
            </w:r>
          </w:p>
        </w:tc>
        <w:tc>
          <w:tcPr>
            <w:tcW w:w="807" w:type="pct"/>
            <w:tcBorders>
              <w:top w:val="single" w:sz="4" w:space="0" w:color="auto"/>
              <w:bottom w:val="single" w:sz="4" w:space="0" w:color="auto"/>
            </w:tcBorders>
          </w:tcPr>
          <w:p w14:paraId="5096E178" w14:textId="531130B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Agung Sunda Kelapa</w:t>
            </w:r>
          </w:p>
        </w:tc>
        <w:tc>
          <w:tcPr>
            <w:tcW w:w="713" w:type="pct"/>
            <w:tcBorders>
              <w:top w:val="single" w:sz="4" w:space="0" w:color="auto"/>
              <w:bottom w:val="single" w:sz="4" w:space="0" w:color="auto"/>
            </w:tcBorders>
          </w:tcPr>
          <w:p w14:paraId="20DF7D6F" w14:textId="07BDFFA4"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8</w:t>
            </w:r>
          </w:p>
        </w:tc>
        <w:tc>
          <w:tcPr>
            <w:tcW w:w="648" w:type="pct"/>
            <w:tcBorders>
              <w:top w:val="single" w:sz="4" w:space="0" w:color="auto"/>
              <w:bottom w:val="single" w:sz="4" w:space="0" w:color="auto"/>
            </w:tcBorders>
          </w:tcPr>
          <w:p w14:paraId="38DBD6C7" w14:textId="69366F0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Central Jakarta</w:t>
            </w:r>
          </w:p>
        </w:tc>
      </w:tr>
      <w:tr w:rsidR="003261E6" w:rsidRPr="00E94D47" w14:paraId="4EE5B686" w14:textId="64CB66C2" w:rsidTr="003261E6">
        <w:trPr>
          <w:trHeight w:val="324"/>
          <w:jc w:val="center"/>
        </w:trPr>
        <w:tc>
          <w:tcPr>
            <w:tcW w:w="766" w:type="pct"/>
            <w:tcBorders>
              <w:top w:val="single" w:sz="4" w:space="0" w:color="auto"/>
              <w:bottom w:val="single" w:sz="4" w:space="0" w:color="auto"/>
            </w:tcBorders>
          </w:tcPr>
          <w:p w14:paraId="164E690B" w14:textId="11DB947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P03</w:t>
            </w:r>
          </w:p>
        </w:tc>
        <w:tc>
          <w:tcPr>
            <w:tcW w:w="868" w:type="pct"/>
            <w:tcBorders>
              <w:top w:val="single" w:sz="4" w:space="0" w:color="auto"/>
              <w:bottom w:val="single" w:sz="4" w:space="0" w:color="auto"/>
            </w:tcBorders>
          </w:tcPr>
          <w:p w14:paraId="59208045" w14:textId="16ECEE3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14A4A56D" w14:textId="2D41328A"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0B6B1041" w14:textId="7D382FE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Treasurer</w:t>
            </w:r>
          </w:p>
        </w:tc>
        <w:tc>
          <w:tcPr>
            <w:tcW w:w="807" w:type="pct"/>
            <w:tcBorders>
              <w:top w:val="single" w:sz="4" w:space="0" w:color="auto"/>
              <w:bottom w:val="single" w:sz="4" w:space="0" w:color="auto"/>
            </w:tcBorders>
          </w:tcPr>
          <w:p w14:paraId="255B564C" w14:textId="3A91707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 xml:space="preserve">Masjid Besar </w:t>
            </w:r>
            <w:proofErr w:type="spellStart"/>
            <w:r w:rsidRPr="00E94D47">
              <w:rPr>
                <w:rFonts w:ascii="Times New Roman" w:eastAsia="Times New Roman" w:hAnsi="Times New Roman" w:cs="Times New Roman"/>
                <w:bCs/>
                <w:sz w:val="20"/>
                <w:szCs w:val="20"/>
              </w:rPr>
              <w:t>Cipaganti</w:t>
            </w:r>
            <w:proofErr w:type="spellEnd"/>
          </w:p>
        </w:tc>
        <w:tc>
          <w:tcPr>
            <w:tcW w:w="713" w:type="pct"/>
            <w:tcBorders>
              <w:top w:val="single" w:sz="4" w:space="0" w:color="auto"/>
              <w:bottom w:val="single" w:sz="4" w:space="0" w:color="auto"/>
            </w:tcBorders>
          </w:tcPr>
          <w:p w14:paraId="6A3211D7" w14:textId="78933D1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7</w:t>
            </w:r>
          </w:p>
        </w:tc>
        <w:tc>
          <w:tcPr>
            <w:tcW w:w="648" w:type="pct"/>
            <w:tcBorders>
              <w:top w:val="single" w:sz="4" w:space="0" w:color="auto"/>
              <w:bottom w:val="single" w:sz="4" w:space="0" w:color="auto"/>
            </w:tcBorders>
          </w:tcPr>
          <w:p w14:paraId="1DE35E7E" w14:textId="439BBBB4"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Bandung</w:t>
            </w:r>
          </w:p>
        </w:tc>
      </w:tr>
      <w:tr w:rsidR="003261E6" w:rsidRPr="00E94D47" w14:paraId="36262CC8" w14:textId="36ACC524" w:rsidTr="003261E6">
        <w:trPr>
          <w:trHeight w:val="290"/>
          <w:jc w:val="center"/>
        </w:trPr>
        <w:tc>
          <w:tcPr>
            <w:tcW w:w="766" w:type="pct"/>
            <w:tcBorders>
              <w:top w:val="single" w:sz="4" w:space="0" w:color="auto"/>
              <w:bottom w:val="single" w:sz="4" w:space="0" w:color="auto"/>
            </w:tcBorders>
          </w:tcPr>
          <w:p w14:paraId="2F80C0D5" w14:textId="738AB63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P04</w:t>
            </w:r>
          </w:p>
        </w:tc>
        <w:tc>
          <w:tcPr>
            <w:tcW w:w="868" w:type="pct"/>
            <w:tcBorders>
              <w:top w:val="single" w:sz="4" w:space="0" w:color="auto"/>
              <w:bottom w:val="single" w:sz="4" w:space="0" w:color="auto"/>
            </w:tcBorders>
          </w:tcPr>
          <w:p w14:paraId="79726F56" w14:textId="66B04A2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7488B1FD" w14:textId="65290CCC"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3B21226F" w14:textId="0159EEE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Coordinator</w:t>
            </w:r>
          </w:p>
        </w:tc>
        <w:tc>
          <w:tcPr>
            <w:tcW w:w="807" w:type="pct"/>
            <w:tcBorders>
              <w:top w:val="single" w:sz="4" w:space="0" w:color="auto"/>
              <w:bottom w:val="single" w:sz="4" w:space="0" w:color="auto"/>
            </w:tcBorders>
          </w:tcPr>
          <w:p w14:paraId="0132C8FB" w14:textId="65C6295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Jami Al-Anwar</w:t>
            </w:r>
          </w:p>
        </w:tc>
        <w:tc>
          <w:tcPr>
            <w:tcW w:w="713" w:type="pct"/>
            <w:tcBorders>
              <w:top w:val="single" w:sz="4" w:space="0" w:color="auto"/>
              <w:bottom w:val="single" w:sz="4" w:space="0" w:color="auto"/>
            </w:tcBorders>
          </w:tcPr>
          <w:p w14:paraId="1D13C6DA" w14:textId="7E2D2FF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4</w:t>
            </w:r>
          </w:p>
        </w:tc>
        <w:tc>
          <w:tcPr>
            <w:tcW w:w="648" w:type="pct"/>
            <w:tcBorders>
              <w:top w:val="single" w:sz="4" w:space="0" w:color="auto"/>
              <w:bottom w:val="single" w:sz="4" w:space="0" w:color="auto"/>
            </w:tcBorders>
          </w:tcPr>
          <w:p w14:paraId="1AC06BB2" w14:textId="4468C9C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West Jakarta</w:t>
            </w:r>
          </w:p>
        </w:tc>
      </w:tr>
      <w:tr w:rsidR="003261E6" w:rsidRPr="00E94D47" w14:paraId="126F5CC9" w14:textId="77777777" w:rsidTr="003261E6">
        <w:trPr>
          <w:trHeight w:val="290"/>
          <w:jc w:val="center"/>
        </w:trPr>
        <w:tc>
          <w:tcPr>
            <w:tcW w:w="766" w:type="pct"/>
            <w:tcBorders>
              <w:top w:val="single" w:sz="4" w:space="0" w:color="auto"/>
              <w:bottom w:val="single" w:sz="4" w:space="0" w:color="auto"/>
            </w:tcBorders>
          </w:tcPr>
          <w:p w14:paraId="49E16BD6" w14:textId="0E27BD4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P05</w:t>
            </w:r>
          </w:p>
        </w:tc>
        <w:tc>
          <w:tcPr>
            <w:tcW w:w="868" w:type="pct"/>
            <w:tcBorders>
              <w:top w:val="single" w:sz="4" w:space="0" w:color="auto"/>
              <w:bottom w:val="single" w:sz="4" w:space="0" w:color="auto"/>
            </w:tcBorders>
          </w:tcPr>
          <w:p w14:paraId="67F2C8A2" w14:textId="1588E4E2"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6807CB29" w14:textId="1FF18D46"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0E09DBB5" w14:textId="12E8B2D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Coordinator</w:t>
            </w:r>
          </w:p>
        </w:tc>
        <w:tc>
          <w:tcPr>
            <w:tcW w:w="807" w:type="pct"/>
            <w:tcBorders>
              <w:top w:val="single" w:sz="4" w:space="0" w:color="auto"/>
              <w:bottom w:val="single" w:sz="4" w:space="0" w:color="auto"/>
            </w:tcBorders>
          </w:tcPr>
          <w:p w14:paraId="2B3E733D" w14:textId="4E4E90D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Jami Al-</w:t>
            </w:r>
            <w:proofErr w:type="spellStart"/>
            <w:r w:rsidRPr="00E94D47">
              <w:rPr>
                <w:rFonts w:ascii="Times New Roman" w:eastAsia="Times New Roman" w:hAnsi="Times New Roman" w:cs="Times New Roman"/>
                <w:bCs/>
                <w:sz w:val="20"/>
                <w:szCs w:val="20"/>
              </w:rPr>
              <w:t>Barkah</w:t>
            </w:r>
            <w:proofErr w:type="spellEnd"/>
          </w:p>
        </w:tc>
        <w:tc>
          <w:tcPr>
            <w:tcW w:w="713" w:type="pct"/>
            <w:tcBorders>
              <w:top w:val="single" w:sz="4" w:space="0" w:color="auto"/>
              <w:bottom w:val="single" w:sz="4" w:space="0" w:color="auto"/>
            </w:tcBorders>
          </w:tcPr>
          <w:p w14:paraId="15D7C5C0" w14:textId="3717507D"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5</w:t>
            </w:r>
          </w:p>
        </w:tc>
        <w:tc>
          <w:tcPr>
            <w:tcW w:w="648" w:type="pct"/>
            <w:tcBorders>
              <w:top w:val="single" w:sz="4" w:space="0" w:color="auto"/>
              <w:bottom w:val="single" w:sz="4" w:space="0" w:color="auto"/>
            </w:tcBorders>
          </w:tcPr>
          <w:p w14:paraId="11CA2162" w14:textId="147790B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Bandung</w:t>
            </w:r>
          </w:p>
        </w:tc>
      </w:tr>
      <w:tr w:rsidR="003261E6" w:rsidRPr="00E94D47" w14:paraId="49A0F986" w14:textId="77777777" w:rsidTr="003261E6">
        <w:trPr>
          <w:trHeight w:val="290"/>
          <w:jc w:val="center"/>
        </w:trPr>
        <w:tc>
          <w:tcPr>
            <w:tcW w:w="766" w:type="pct"/>
            <w:tcBorders>
              <w:top w:val="single" w:sz="4" w:space="0" w:color="auto"/>
              <w:bottom w:val="single" w:sz="4" w:space="0" w:color="auto"/>
            </w:tcBorders>
          </w:tcPr>
          <w:p w14:paraId="28078D64" w14:textId="49F7BD5B"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P06</w:t>
            </w:r>
          </w:p>
        </w:tc>
        <w:tc>
          <w:tcPr>
            <w:tcW w:w="868" w:type="pct"/>
            <w:tcBorders>
              <w:top w:val="single" w:sz="4" w:space="0" w:color="auto"/>
              <w:bottom w:val="single" w:sz="4" w:space="0" w:color="auto"/>
            </w:tcBorders>
          </w:tcPr>
          <w:p w14:paraId="44C7F312" w14:textId="7BDDF3D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45C4C6CA" w14:textId="00EFB5C9"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290B17A3" w14:textId="02CF2C8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Treasurer</w:t>
            </w:r>
          </w:p>
        </w:tc>
        <w:tc>
          <w:tcPr>
            <w:tcW w:w="807" w:type="pct"/>
            <w:tcBorders>
              <w:top w:val="single" w:sz="4" w:space="0" w:color="auto"/>
              <w:bottom w:val="single" w:sz="4" w:space="0" w:color="auto"/>
            </w:tcBorders>
          </w:tcPr>
          <w:p w14:paraId="2996A367" w14:textId="418754E4"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As-</w:t>
            </w:r>
            <w:proofErr w:type="spellStart"/>
            <w:r w:rsidRPr="00E94D47">
              <w:rPr>
                <w:rFonts w:ascii="Times New Roman" w:eastAsia="Times New Roman" w:hAnsi="Times New Roman" w:cs="Times New Roman"/>
                <w:bCs/>
                <w:sz w:val="20"/>
                <w:szCs w:val="20"/>
              </w:rPr>
              <w:t>Syifa</w:t>
            </w:r>
            <w:proofErr w:type="spellEnd"/>
            <w:r w:rsidRPr="00E94D47">
              <w:rPr>
                <w:rFonts w:ascii="Times New Roman" w:eastAsia="Times New Roman" w:hAnsi="Times New Roman" w:cs="Times New Roman"/>
                <w:bCs/>
                <w:sz w:val="20"/>
                <w:szCs w:val="20"/>
              </w:rPr>
              <w:t xml:space="preserve"> RS Jakarta</w:t>
            </w:r>
          </w:p>
        </w:tc>
        <w:tc>
          <w:tcPr>
            <w:tcW w:w="713" w:type="pct"/>
            <w:tcBorders>
              <w:top w:val="single" w:sz="4" w:space="0" w:color="auto"/>
              <w:bottom w:val="single" w:sz="4" w:space="0" w:color="auto"/>
            </w:tcBorders>
          </w:tcPr>
          <w:p w14:paraId="1307826F" w14:textId="7FD0812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14</w:t>
            </w:r>
          </w:p>
        </w:tc>
        <w:tc>
          <w:tcPr>
            <w:tcW w:w="648" w:type="pct"/>
            <w:tcBorders>
              <w:top w:val="single" w:sz="4" w:space="0" w:color="auto"/>
              <w:bottom w:val="single" w:sz="4" w:space="0" w:color="auto"/>
            </w:tcBorders>
          </w:tcPr>
          <w:p w14:paraId="222391E6" w14:textId="416B740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West Jakarta</w:t>
            </w:r>
          </w:p>
        </w:tc>
      </w:tr>
      <w:tr w:rsidR="003261E6" w:rsidRPr="00E94D47" w14:paraId="550E9917" w14:textId="77777777" w:rsidTr="003261E6">
        <w:trPr>
          <w:trHeight w:val="290"/>
          <w:jc w:val="center"/>
        </w:trPr>
        <w:tc>
          <w:tcPr>
            <w:tcW w:w="766" w:type="pct"/>
            <w:tcBorders>
              <w:top w:val="single" w:sz="4" w:space="0" w:color="auto"/>
              <w:bottom w:val="single" w:sz="4" w:space="0" w:color="auto"/>
            </w:tcBorders>
          </w:tcPr>
          <w:p w14:paraId="4786F848" w14:textId="6089BD3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P07</w:t>
            </w:r>
          </w:p>
        </w:tc>
        <w:tc>
          <w:tcPr>
            <w:tcW w:w="868" w:type="pct"/>
            <w:tcBorders>
              <w:top w:val="single" w:sz="4" w:space="0" w:color="auto"/>
              <w:bottom w:val="single" w:sz="4" w:space="0" w:color="auto"/>
            </w:tcBorders>
          </w:tcPr>
          <w:p w14:paraId="1FEFBE65" w14:textId="2E2D1474"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4B67F32B" w14:textId="12EA153F"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6DE8A796" w14:textId="5FB8E78F"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lang w:val="en-ID"/>
              </w:rPr>
              <w:t>Secretary</w:t>
            </w:r>
          </w:p>
        </w:tc>
        <w:tc>
          <w:tcPr>
            <w:tcW w:w="807" w:type="pct"/>
            <w:tcBorders>
              <w:top w:val="single" w:sz="4" w:space="0" w:color="auto"/>
              <w:bottom w:val="single" w:sz="4" w:space="0" w:color="auto"/>
            </w:tcBorders>
          </w:tcPr>
          <w:p w14:paraId="11722613" w14:textId="5785407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Nurul Iman</w:t>
            </w:r>
          </w:p>
        </w:tc>
        <w:tc>
          <w:tcPr>
            <w:tcW w:w="713" w:type="pct"/>
            <w:tcBorders>
              <w:top w:val="single" w:sz="4" w:space="0" w:color="auto"/>
              <w:bottom w:val="single" w:sz="4" w:space="0" w:color="auto"/>
            </w:tcBorders>
          </w:tcPr>
          <w:p w14:paraId="632B4EB0" w14:textId="2E05F94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11</w:t>
            </w:r>
          </w:p>
        </w:tc>
        <w:tc>
          <w:tcPr>
            <w:tcW w:w="648" w:type="pct"/>
            <w:tcBorders>
              <w:top w:val="single" w:sz="4" w:space="0" w:color="auto"/>
              <w:bottom w:val="single" w:sz="4" w:space="0" w:color="auto"/>
            </w:tcBorders>
          </w:tcPr>
          <w:p w14:paraId="0F76A117" w14:textId="388BE57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Jakarta</w:t>
            </w:r>
          </w:p>
        </w:tc>
      </w:tr>
      <w:tr w:rsidR="003261E6" w:rsidRPr="00E94D47" w14:paraId="43DC503F" w14:textId="77777777" w:rsidTr="003261E6">
        <w:trPr>
          <w:trHeight w:val="290"/>
          <w:jc w:val="center"/>
        </w:trPr>
        <w:tc>
          <w:tcPr>
            <w:tcW w:w="766" w:type="pct"/>
            <w:tcBorders>
              <w:top w:val="single" w:sz="4" w:space="0" w:color="auto"/>
              <w:bottom w:val="single" w:sz="4" w:space="0" w:color="auto"/>
            </w:tcBorders>
          </w:tcPr>
          <w:p w14:paraId="12B2E154" w14:textId="6A07D2A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P08</w:t>
            </w:r>
          </w:p>
        </w:tc>
        <w:tc>
          <w:tcPr>
            <w:tcW w:w="868" w:type="pct"/>
            <w:tcBorders>
              <w:top w:val="single" w:sz="4" w:space="0" w:color="auto"/>
              <w:bottom w:val="single" w:sz="4" w:space="0" w:color="auto"/>
            </w:tcBorders>
          </w:tcPr>
          <w:p w14:paraId="737B1766" w14:textId="656C451F"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543D939F" w14:textId="13491132"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5955266F" w14:textId="409717C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Treasurer</w:t>
            </w:r>
          </w:p>
        </w:tc>
        <w:tc>
          <w:tcPr>
            <w:tcW w:w="807" w:type="pct"/>
            <w:tcBorders>
              <w:top w:val="single" w:sz="4" w:space="0" w:color="auto"/>
              <w:bottom w:val="single" w:sz="4" w:space="0" w:color="auto"/>
            </w:tcBorders>
          </w:tcPr>
          <w:p w14:paraId="32B04AD7" w14:textId="5F3B0662"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Jami As-</w:t>
            </w:r>
            <w:proofErr w:type="spellStart"/>
            <w:r w:rsidRPr="00E94D47">
              <w:rPr>
                <w:rFonts w:ascii="Times New Roman" w:eastAsia="Times New Roman" w:hAnsi="Times New Roman" w:cs="Times New Roman"/>
                <w:bCs/>
                <w:sz w:val="20"/>
                <w:szCs w:val="20"/>
              </w:rPr>
              <w:t>Shiroth</w:t>
            </w:r>
            <w:proofErr w:type="spellEnd"/>
          </w:p>
        </w:tc>
        <w:tc>
          <w:tcPr>
            <w:tcW w:w="713" w:type="pct"/>
            <w:tcBorders>
              <w:top w:val="single" w:sz="4" w:space="0" w:color="auto"/>
              <w:bottom w:val="single" w:sz="4" w:space="0" w:color="auto"/>
            </w:tcBorders>
          </w:tcPr>
          <w:p w14:paraId="3033DDC4" w14:textId="7670C41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9</w:t>
            </w:r>
          </w:p>
        </w:tc>
        <w:tc>
          <w:tcPr>
            <w:tcW w:w="648" w:type="pct"/>
            <w:tcBorders>
              <w:top w:val="single" w:sz="4" w:space="0" w:color="auto"/>
              <w:bottom w:val="single" w:sz="4" w:space="0" w:color="auto"/>
            </w:tcBorders>
          </w:tcPr>
          <w:p w14:paraId="50CF82DE" w14:textId="00DC658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Jakarta</w:t>
            </w:r>
          </w:p>
        </w:tc>
      </w:tr>
      <w:tr w:rsidR="003261E6" w:rsidRPr="00E94D47" w14:paraId="3801A5B9" w14:textId="77777777" w:rsidTr="003261E6">
        <w:trPr>
          <w:trHeight w:val="290"/>
          <w:jc w:val="center"/>
        </w:trPr>
        <w:tc>
          <w:tcPr>
            <w:tcW w:w="766" w:type="pct"/>
            <w:tcBorders>
              <w:top w:val="single" w:sz="4" w:space="0" w:color="auto"/>
              <w:bottom w:val="single" w:sz="4" w:space="0" w:color="auto"/>
            </w:tcBorders>
          </w:tcPr>
          <w:p w14:paraId="5F2BD00B" w14:textId="6A8DE93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P09</w:t>
            </w:r>
          </w:p>
        </w:tc>
        <w:tc>
          <w:tcPr>
            <w:tcW w:w="868" w:type="pct"/>
            <w:tcBorders>
              <w:top w:val="single" w:sz="4" w:space="0" w:color="auto"/>
              <w:bottom w:val="single" w:sz="4" w:space="0" w:color="auto"/>
            </w:tcBorders>
          </w:tcPr>
          <w:p w14:paraId="2ED927D0" w14:textId="1AF0254B"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5BD92D07" w14:textId="3684218D"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35A156E9" w14:textId="35F47F1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Coordinator</w:t>
            </w:r>
          </w:p>
        </w:tc>
        <w:tc>
          <w:tcPr>
            <w:tcW w:w="807" w:type="pct"/>
            <w:tcBorders>
              <w:top w:val="single" w:sz="4" w:space="0" w:color="auto"/>
              <w:bottom w:val="single" w:sz="4" w:space="0" w:color="auto"/>
            </w:tcBorders>
          </w:tcPr>
          <w:p w14:paraId="098FFBAB" w14:textId="72E973C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Masjid Al-</w:t>
            </w:r>
            <w:proofErr w:type="spellStart"/>
            <w:r w:rsidRPr="00E94D47">
              <w:rPr>
                <w:rFonts w:ascii="Times New Roman" w:eastAsia="Times New Roman" w:hAnsi="Times New Roman" w:cs="Times New Roman"/>
                <w:bCs/>
                <w:sz w:val="20"/>
                <w:szCs w:val="20"/>
              </w:rPr>
              <w:t>Jami'ah</w:t>
            </w:r>
            <w:proofErr w:type="spellEnd"/>
            <w:r w:rsidRPr="00E94D47">
              <w:rPr>
                <w:rFonts w:ascii="Times New Roman" w:eastAsia="Times New Roman" w:hAnsi="Times New Roman" w:cs="Times New Roman"/>
                <w:bCs/>
                <w:sz w:val="20"/>
                <w:szCs w:val="20"/>
              </w:rPr>
              <w:t xml:space="preserve"> UIN </w:t>
            </w:r>
            <w:proofErr w:type="spellStart"/>
            <w:r w:rsidRPr="00E94D47">
              <w:rPr>
                <w:rFonts w:ascii="Times New Roman" w:eastAsia="Times New Roman" w:hAnsi="Times New Roman" w:cs="Times New Roman"/>
                <w:bCs/>
                <w:sz w:val="20"/>
                <w:szCs w:val="20"/>
              </w:rPr>
              <w:t>Syarif</w:t>
            </w:r>
            <w:proofErr w:type="spellEnd"/>
            <w:r w:rsidRPr="00E94D47">
              <w:rPr>
                <w:rFonts w:ascii="Times New Roman" w:eastAsia="Times New Roman" w:hAnsi="Times New Roman" w:cs="Times New Roman"/>
                <w:bCs/>
                <w:sz w:val="20"/>
                <w:szCs w:val="20"/>
              </w:rPr>
              <w:t xml:space="preserve"> Hidayatullah</w:t>
            </w:r>
          </w:p>
        </w:tc>
        <w:tc>
          <w:tcPr>
            <w:tcW w:w="713" w:type="pct"/>
            <w:tcBorders>
              <w:top w:val="single" w:sz="4" w:space="0" w:color="auto"/>
              <w:bottom w:val="single" w:sz="4" w:space="0" w:color="auto"/>
            </w:tcBorders>
          </w:tcPr>
          <w:p w14:paraId="73B68C7C" w14:textId="010A83A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w:t>
            </w:r>
          </w:p>
        </w:tc>
        <w:tc>
          <w:tcPr>
            <w:tcW w:w="648" w:type="pct"/>
            <w:tcBorders>
              <w:top w:val="single" w:sz="4" w:space="0" w:color="auto"/>
              <w:bottom w:val="single" w:sz="4" w:space="0" w:color="auto"/>
            </w:tcBorders>
          </w:tcPr>
          <w:p w14:paraId="3D38682F" w14:textId="7E197B03"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Tangerang</w:t>
            </w:r>
          </w:p>
        </w:tc>
      </w:tr>
      <w:tr w:rsidR="003261E6" w:rsidRPr="00E94D47" w14:paraId="5CE28A8D" w14:textId="77777777" w:rsidTr="003261E6">
        <w:trPr>
          <w:trHeight w:val="290"/>
          <w:jc w:val="center"/>
        </w:trPr>
        <w:tc>
          <w:tcPr>
            <w:tcW w:w="766" w:type="pct"/>
            <w:tcBorders>
              <w:top w:val="single" w:sz="4" w:space="0" w:color="auto"/>
              <w:bottom w:val="single" w:sz="4" w:space="0" w:color="auto"/>
            </w:tcBorders>
          </w:tcPr>
          <w:p w14:paraId="728A3721" w14:textId="7520F1E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P10</w:t>
            </w:r>
          </w:p>
        </w:tc>
        <w:tc>
          <w:tcPr>
            <w:tcW w:w="868" w:type="pct"/>
            <w:tcBorders>
              <w:top w:val="single" w:sz="4" w:space="0" w:color="auto"/>
              <w:bottom w:val="single" w:sz="4" w:space="0" w:color="auto"/>
            </w:tcBorders>
          </w:tcPr>
          <w:p w14:paraId="3B71D0DE" w14:textId="0F21D352"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Administrator</w:t>
            </w:r>
          </w:p>
        </w:tc>
        <w:tc>
          <w:tcPr>
            <w:tcW w:w="505" w:type="pct"/>
            <w:tcBorders>
              <w:top w:val="single" w:sz="4" w:space="0" w:color="auto"/>
              <w:bottom w:val="single" w:sz="4" w:space="0" w:color="auto"/>
            </w:tcBorders>
          </w:tcPr>
          <w:p w14:paraId="1866B36F" w14:textId="7A6293E1"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36FE7A8C" w14:textId="60148EA3"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Mosque Coordinator</w:t>
            </w:r>
          </w:p>
        </w:tc>
        <w:tc>
          <w:tcPr>
            <w:tcW w:w="807" w:type="pct"/>
            <w:tcBorders>
              <w:top w:val="single" w:sz="4" w:space="0" w:color="auto"/>
              <w:bottom w:val="single" w:sz="4" w:space="0" w:color="auto"/>
            </w:tcBorders>
          </w:tcPr>
          <w:p w14:paraId="5BB022CD" w14:textId="0D29F1CB"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 xml:space="preserve">Masjid Jami </w:t>
            </w:r>
            <w:proofErr w:type="spellStart"/>
            <w:r w:rsidRPr="00E94D47">
              <w:rPr>
                <w:rFonts w:ascii="Times New Roman" w:eastAsia="Times New Roman" w:hAnsi="Times New Roman" w:cs="Times New Roman"/>
                <w:bCs/>
                <w:sz w:val="20"/>
                <w:szCs w:val="20"/>
              </w:rPr>
              <w:t>Manbaul</w:t>
            </w:r>
            <w:proofErr w:type="spellEnd"/>
            <w:r w:rsidRPr="00E94D47">
              <w:rPr>
                <w:rFonts w:ascii="Times New Roman" w:eastAsia="Times New Roman" w:hAnsi="Times New Roman" w:cs="Times New Roman"/>
                <w:bCs/>
                <w:sz w:val="20"/>
                <w:szCs w:val="20"/>
              </w:rPr>
              <w:t xml:space="preserve"> </w:t>
            </w:r>
            <w:proofErr w:type="spellStart"/>
            <w:r w:rsidRPr="00E94D47">
              <w:rPr>
                <w:rFonts w:ascii="Times New Roman" w:eastAsia="Times New Roman" w:hAnsi="Times New Roman" w:cs="Times New Roman"/>
                <w:bCs/>
                <w:sz w:val="20"/>
                <w:szCs w:val="20"/>
              </w:rPr>
              <w:t>Ulum</w:t>
            </w:r>
            <w:proofErr w:type="spellEnd"/>
            <w:r w:rsidRPr="00E94D47">
              <w:rPr>
                <w:rFonts w:ascii="Times New Roman" w:eastAsia="Times New Roman" w:hAnsi="Times New Roman" w:cs="Times New Roman"/>
                <w:bCs/>
                <w:sz w:val="20"/>
                <w:szCs w:val="20"/>
              </w:rPr>
              <w:t xml:space="preserve"> UPNVJ</w:t>
            </w:r>
          </w:p>
        </w:tc>
        <w:tc>
          <w:tcPr>
            <w:tcW w:w="713" w:type="pct"/>
            <w:tcBorders>
              <w:top w:val="single" w:sz="4" w:space="0" w:color="auto"/>
              <w:bottom w:val="single" w:sz="4" w:space="0" w:color="auto"/>
            </w:tcBorders>
          </w:tcPr>
          <w:p w14:paraId="0F33F96D" w14:textId="4DF3BC0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4</w:t>
            </w:r>
          </w:p>
        </w:tc>
        <w:tc>
          <w:tcPr>
            <w:tcW w:w="648" w:type="pct"/>
            <w:tcBorders>
              <w:top w:val="single" w:sz="4" w:space="0" w:color="auto"/>
              <w:bottom w:val="single" w:sz="4" w:space="0" w:color="auto"/>
            </w:tcBorders>
          </w:tcPr>
          <w:p w14:paraId="57F4941A" w14:textId="31786B9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West Jakarta</w:t>
            </w:r>
          </w:p>
        </w:tc>
      </w:tr>
      <w:tr w:rsidR="003261E6" w:rsidRPr="00E94D47" w14:paraId="6457B9C0" w14:textId="77777777" w:rsidTr="003261E6">
        <w:trPr>
          <w:trHeight w:val="290"/>
          <w:jc w:val="center"/>
        </w:trPr>
        <w:tc>
          <w:tcPr>
            <w:tcW w:w="766" w:type="pct"/>
            <w:tcBorders>
              <w:top w:val="single" w:sz="4" w:space="0" w:color="auto"/>
              <w:bottom w:val="single" w:sz="4" w:space="0" w:color="auto"/>
            </w:tcBorders>
          </w:tcPr>
          <w:p w14:paraId="27BFA596" w14:textId="35B1E9B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P11</w:t>
            </w:r>
          </w:p>
        </w:tc>
        <w:tc>
          <w:tcPr>
            <w:tcW w:w="868" w:type="pct"/>
            <w:tcBorders>
              <w:top w:val="single" w:sz="4" w:space="0" w:color="auto"/>
              <w:bottom w:val="single" w:sz="4" w:space="0" w:color="auto"/>
            </w:tcBorders>
          </w:tcPr>
          <w:p w14:paraId="7E4037D7" w14:textId="0242C13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Finance Scholars</w:t>
            </w:r>
          </w:p>
        </w:tc>
        <w:tc>
          <w:tcPr>
            <w:tcW w:w="505" w:type="pct"/>
            <w:tcBorders>
              <w:top w:val="single" w:sz="4" w:space="0" w:color="auto"/>
              <w:bottom w:val="single" w:sz="4" w:space="0" w:color="auto"/>
            </w:tcBorders>
          </w:tcPr>
          <w:p w14:paraId="00AB36D5" w14:textId="732EED17" w:rsidR="003261E6" w:rsidRPr="00E94D47" w:rsidRDefault="003261E6" w:rsidP="003261E6">
            <w:pPr>
              <w:spacing w:line="240" w:lineRule="auto"/>
              <w:jc w:val="center"/>
              <w:rPr>
                <w:rFonts w:ascii="Times New Roman" w:eastAsia="Times New Roman" w:hAnsi="Times New Roman" w:cs="Times New Roman"/>
                <w:sz w:val="20"/>
                <w:szCs w:val="20"/>
              </w:rPr>
            </w:pPr>
            <w:r w:rsidRPr="00A50B2C">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43634971" w14:textId="13D9ACA1"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Lecturer</w:t>
            </w:r>
          </w:p>
        </w:tc>
        <w:tc>
          <w:tcPr>
            <w:tcW w:w="807" w:type="pct"/>
            <w:tcBorders>
              <w:top w:val="single" w:sz="4" w:space="0" w:color="auto"/>
              <w:bottom w:val="single" w:sz="4" w:space="0" w:color="auto"/>
            </w:tcBorders>
          </w:tcPr>
          <w:p w14:paraId="53055981" w14:textId="50EF739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 xml:space="preserve">UIN </w:t>
            </w:r>
            <w:proofErr w:type="spellStart"/>
            <w:r w:rsidRPr="00E94D47">
              <w:rPr>
                <w:rFonts w:ascii="Times New Roman" w:eastAsia="Times New Roman" w:hAnsi="Times New Roman" w:cs="Times New Roman"/>
                <w:bCs/>
                <w:sz w:val="20"/>
                <w:szCs w:val="20"/>
              </w:rPr>
              <w:t>Syarif</w:t>
            </w:r>
            <w:proofErr w:type="spellEnd"/>
            <w:r w:rsidRPr="00E94D47">
              <w:rPr>
                <w:rFonts w:ascii="Times New Roman" w:eastAsia="Times New Roman" w:hAnsi="Times New Roman" w:cs="Times New Roman"/>
                <w:bCs/>
                <w:sz w:val="20"/>
                <w:szCs w:val="20"/>
              </w:rPr>
              <w:t xml:space="preserve"> Hidayatullah Jakarta</w:t>
            </w:r>
          </w:p>
        </w:tc>
        <w:tc>
          <w:tcPr>
            <w:tcW w:w="713" w:type="pct"/>
            <w:tcBorders>
              <w:top w:val="single" w:sz="4" w:space="0" w:color="auto"/>
              <w:bottom w:val="single" w:sz="4" w:space="0" w:color="auto"/>
            </w:tcBorders>
          </w:tcPr>
          <w:p w14:paraId="0F478CEC" w14:textId="0D33531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15</w:t>
            </w:r>
          </w:p>
        </w:tc>
        <w:tc>
          <w:tcPr>
            <w:tcW w:w="648" w:type="pct"/>
            <w:tcBorders>
              <w:top w:val="single" w:sz="4" w:space="0" w:color="auto"/>
              <w:bottom w:val="single" w:sz="4" w:space="0" w:color="auto"/>
            </w:tcBorders>
          </w:tcPr>
          <w:p w14:paraId="46F5F228" w14:textId="2BA2613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Jakarta</w:t>
            </w:r>
          </w:p>
        </w:tc>
      </w:tr>
      <w:tr w:rsidR="003261E6" w:rsidRPr="00E94D47" w14:paraId="51859E2C" w14:textId="77777777" w:rsidTr="003261E6">
        <w:trPr>
          <w:trHeight w:val="290"/>
          <w:jc w:val="center"/>
        </w:trPr>
        <w:tc>
          <w:tcPr>
            <w:tcW w:w="766" w:type="pct"/>
            <w:tcBorders>
              <w:top w:val="single" w:sz="4" w:space="0" w:color="auto"/>
              <w:bottom w:val="single" w:sz="4" w:space="0" w:color="auto"/>
            </w:tcBorders>
          </w:tcPr>
          <w:p w14:paraId="3F7BBB0A" w14:textId="2443E6A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P12</w:t>
            </w:r>
          </w:p>
        </w:tc>
        <w:tc>
          <w:tcPr>
            <w:tcW w:w="868" w:type="pct"/>
            <w:tcBorders>
              <w:top w:val="single" w:sz="4" w:space="0" w:color="auto"/>
              <w:bottom w:val="single" w:sz="4" w:space="0" w:color="auto"/>
            </w:tcBorders>
          </w:tcPr>
          <w:p w14:paraId="08C33824" w14:textId="2508A28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Finance Scholars</w:t>
            </w:r>
          </w:p>
        </w:tc>
        <w:tc>
          <w:tcPr>
            <w:tcW w:w="505" w:type="pct"/>
            <w:tcBorders>
              <w:top w:val="single" w:sz="4" w:space="0" w:color="auto"/>
              <w:bottom w:val="single" w:sz="4" w:space="0" w:color="auto"/>
            </w:tcBorders>
          </w:tcPr>
          <w:p w14:paraId="444D77D2" w14:textId="5EFF754F" w:rsidR="003261E6" w:rsidRPr="00E94D47" w:rsidRDefault="003261E6" w:rsidP="003261E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Female</w:t>
            </w:r>
          </w:p>
        </w:tc>
        <w:tc>
          <w:tcPr>
            <w:tcW w:w="693" w:type="pct"/>
            <w:tcBorders>
              <w:top w:val="single" w:sz="4" w:space="0" w:color="auto"/>
              <w:bottom w:val="single" w:sz="4" w:space="0" w:color="auto"/>
            </w:tcBorders>
          </w:tcPr>
          <w:p w14:paraId="6AFA9CB6" w14:textId="375EED9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Economics Lecturer</w:t>
            </w:r>
          </w:p>
        </w:tc>
        <w:tc>
          <w:tcPr>
            <w:tcW w:w="807" w:type="pct"/>
            <w:tcBorders>
              <w:top w:val="single" w:sz="4" w:space="0" w:color="auto"/>
              <w:bottom w:val="single" w:sz="4" w:space="0" w:color="auto"/>
            </w:tcBorders>
          </w:tcPr>
          <w:p w14:paraId="2B5AE1C3" w14:textId="275D063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Universitas UPN Veteran Jakarta</w:t>
            </w:r>
          </w:p>
        </w:tc>
        <w:tc>
          <w:tcPr>
            <w:tcW w:w="713" w:type="pct"/>
            <w:tcBorders>
              <w:top w:val="single" w:sz="4" w:space="0" w:color="auto"/>
              <w:bottom w:val="single" w:sz="4" w:space="0" w:color="auto"/>
            </w:tcBorders>
          </w:tcPr>
          <w:p w14:paraId="5893C231" w14:textId="36C5536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5</w:t>
            </w:r>
          </w:p>
        </w:tc>
        <w:tc>
          <w:tcPr>
            <w:tcW w:w="648" w:type="pct"/>
            <w:tcBorders>
              <w:top w:val="single" w:sz="4" w:space="0" w:color="auto"/>
              <w:bottom w:val="single" w:sz="4" w:space="0" w:color="auto"/>
            </w:tcBorders>
          </w:tcPr>
          <w:p w14:paraId="378DAF2A" w14:textId="6C8E7F6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South Jakarta</w:t>
            </w:r>
          </w:p>
        </w:tc>
      </w:tr>
      <w:tr w:rsidR="003261E6" w:rsidRPr="00E94D47" w14:paraId="777E7421" w14:textId="77777777" w:rsidTr="003261E6">
        <w:trPr>
          <w:trHeight w:val="290"/>
          <w:jc w:val="center"/>
        </w:trPr>
        <w:tc>
          <w:tcPr>
            <w:tcW w:w="766" w:type="pct"/>
            <w:tcBorders>
              <w:top w:val="single" w:sz="4" w:space="0" w:color="auto"/>
              <w:bottom w:val="single" w:sz="4" w:space="0" w:color="auto"/>
            </w:tcBorders>
          </w:tcPr>
          <w:p w14:paraId="5D386F55" w14:textId="50CDAB5D"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P13</w:t>
            </w:r>
          </w:p>
        </w:tc>
        <w:tc>
          <w:tcPr>
            <w:tcW w:w="868" w:type="pct"/>
            <w:tcBorders>
              <w:top w:val="single" w:sz="4" w:space="0" w:color="auto"/>
              <w:bottom w:val="single" w:sz="4" w:space="0" w:color="auto"/>
            </w:tcBorders>
          </w:tcPr>
          <w:p w14:paraId="5913F5EE" w14:textId="7BA8BE6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Finance Scholars</w:t>
            </w:r>
          </w:p>
        </w:tc>
        <w:tc>
          <w:tcPr>
            <w:tcW w:w="505" w:type="pct"/>
            <w:tcBorders>
              <w:top w:val="single" w:sz="4" w:space="0" w:color="auto"/>
              <w:bottom w:val="single" w:sz="4" w:space="0" w:color="auto"/>
            </w:tcBorders>
          </w:tcPr>
          <w:p w14:paraId="6DCE946F" w14:textId="214A4DED" w:rsidR="003261E6" w:rsidRPr="00E94D47" w:rsidRDefault="003261E6" w:rsidP="003261E6">
            <w:pPr>
              <w:spacing w:line="240" w:lineRule="auto"/>
              <w:jc w:val="center"/>
              <w:rPr>
                <w:rFonts w:ascii="Times New Roman" w:eastAsia="Times New Roman" w:hAnsi="Times New Roman" w:cs="Times New Roman"/>
                <w:sz w:val="20"/>
                <w:szCs w:val="20"/>
              </w:rPr>
            </w:pPr>
            <w:r w:rsidRPr="00E90AC2">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29215286" w14:textId="5FDB9C2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Economics Lecturer</w:t>
            </w:r>
          </w:p>
        </w:tc>
        <w:tc>
          <w:tcPr>
            <w:tcW w:w="807" w:type="pct"/>
            <w:tcBorders>
              <w:top w:val="single" w:sz="4" w:space="0" w:color="auto"/>
              <w:bottom w:val="single" w:sz="4" w:space="0" w:color="auto"/>
            </w:tcBorders>
          </w:tcPr>
          <w:p w14:paraId="7E679D3E" w14:textId="797A055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Universitas UPN Veteran Jakarta</w:t>
            </w:r>
          </w:p>
        </w:tc>
        <w:tc>
          <w:tcPr>
            <w:tcW w:w="713" w:type="pct"/>
            <w:tcBorders>
              <w:top w:val="single" w:sz="4" w:space="0" w:color="auto"/>
              <w:bottom w:val="single" w:sz="4" w:space="0" w:color="auto"/>
            </w:tcBorders>
          </w:tcPr>
          <w:p w14:paraId="68084710" w14:textId="592C80D9"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8</w:t>
            </w:r>
          </w:p>
        </w:tc>
        <w:tc>
          <w:tcPr>
            <w:tcW w:w="648" w:type="pct"/>
            <w:tcBorders>
              <w:top w:val="single" w:sz="4" w:space="0" w:color="auto"/>
              <w:bottom w:val="single" w:sz="4" w:space="0" w:color="auto"/>
            </w:tcBorders>
          </w:tcPr>
          <w:p w14:paraId="209B0E40" w14:textId="1B57EA5D"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Jakarta (Virtual)</w:t>
            </w:r>
          </w:p>
        </w:tc>
      </w:tr>
      <w:tr w:rsidR="003261E6" w:rsidRPr="00E94D47" w14:paraId="402F8B8D" w14:textId="77777777" w:rsidTr="003261E6">
        <w:trPr>
          <w:trHeight w:val="290"/>
          <w:jc w:val="center"/>
        </w:trPr>
        <w:tc>
          <w:tcPr>
            <w:tcW w:w="766" w:type="pct"/>
            <w:tcBorders>
              <w:top w:val="single" w:sz="4" w:space="0" w:color="auto"/>
              <w:bottom w:val="single" w:sz="4" w:space="0" w:color="auto"/>
            </w:tcBorders>
          </w:tcPr>
          <w:p w14:paraId="537AF2AB" w14:textId="16C6A9F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P14</w:t>
            </w:r>
          </w:p>
        </w:tc>
        <w:tc>
          <w:tcPr>
            <w:tcW w:w="868" w:type="pct"/>
            <w:tcBorders>
              <w:top w:val="single" w:sz="4" w:space="0" w:color="auto"/>
              <w:bottom w:val="single" w:sz="4" w:space="0" w:color="auto"/>
            </w:tcBorders>
          </w:tcPr>
          <w:p w14:paraId="2EBC739F" w14:textId="26ED99C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Finance Scholars</w:t>
            </w:r>
          </w:p>
        </w:tc>
        <w:tc>
          <w:tcPr>
            <w:tcW w:w="505" w:type="pct"/>
            <w:tcBorders>
              <w:top w:val="single" w:sz="4" w:space="0" w:color="auto"/>
              <w:bottom w:val="single" w:sz="4" w:space="0" w:color="auto"/>
            </w:tcBorders>
          </w:tcPr>
          <w:p w14:paraId="0EAC6B03" w14:textId="18F13BAF" w:rsidR="003261E6" w:rsidRPr="00E94D47" w:rsidRDefault="003261E6" w:rsidP="003261E6">
            <w:pPr>
              <w:spacing w:line="240" w:lineRule="auto"/>
              <w:jc w:val="center"/>
              <w:rPr>
                <w:rFonts w:ascii="Times New Roman" w:eastAsia="Times New Roman" w:hAnsi="Times New Roman" w:cs="Times New Roman"/>
                <w:sz w:val="20"/>
                <w:szCs w:val="20"/>
              </w:rPr>
            </w:pPr>
            <w:r w:rsidRPr="00E90AC2">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07921A2D" w14:textId="65165AB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Sharia Financial Consultant</w:t>
            </w:r>
          </w:p>
        </w:tc>
        <w:tc>
          <w:tcPr>
            <w:tcW w:w="807" w:type="pct"/>
            <w:tcBorders>
              <w:top w:val="single" w:sz="4" w:space="0" w:color="auto"/>
              <w:bottom w:val="single" w:sz="4" w:space="0" w:color="auto"/>
            </w:tcBorders>
          </w:tcPr>
          <w:p w14:paraId="0B02D9C9" w14:textId="390EAE2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Independent Consultant</w:t>
            </w:r>
          </w:p>
        </w:tc>
        <w:tc>
          <w:tcPr>
            <w:tcW w:w="713" w:type="pct"/>
            <w:tcBorders>
              <w:top w:val="single" w:sz="4" w:space="0" w:color="auto"/>
              <w:bottom w:val="single" w:sz="4" w:space="0" w:color="auto"/>
            </w:tcBorders>
          </w:tcPr>
          <w:p w14:paraId="0769B8A8" w14:textId="7C549F22"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5</w:t>
            </w:r>
          </w:p>
        </w:tc>
        <w:tc>
          <w:tcPr>
            <w:tcW w:w="648" w:type="pct"/>
            <w:tcBorders>
              <w:top w:val="single" w:sz="4" w:space="0" w:color="auto"/>
              <w:bottom w:val="single" w:sz="4" w:space="0" w:color="auto"/>
            </w:tcBorders>
          </w:tcPr>
          <w:p w14:paraId="7DDDC731" w14:textId="5569E58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Jakarta (Virtual)</w:t>
            </w:r>
          </w:p>
        </w:tc>
      </w:tr>
      <w:tr w:rsidR="003261E6" w:rsidRPr="00E94D47" w14:paraId="181ACF45" w14:textId="77777777" w:rsidTr="003261E6">
        <w:trPr>
          <w:trHeight w:val="290"/>
          <w:jc w:val="center"/>
        </w:trPr>
        <w:tc>
          <w:tcPr>
            <w:tcW w:w="766" w:type="pct"/>
            <w:tcBorders>
              <w:top w:val="single" w:sz="4" w:space="0" w:color="auto"/>
              <w:bottom w:val="single" w:sz="4" w:space="0" w:color="auto"/>
            </w:tcBorders>
          </w:tcPr>
          <w:p w14:paraId="35408DA0" w14:textId="5A96F70E"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P15</w:t>
            </w:r>
          </w:p>
        </w:tc>
        <w:tc>
          <w:tcPr>
            <w:tcW w:w="868" w:type="pct"/>
            <w:tcBorders>
              <w:top w:val="single" w:sz="4" w:space="0" w:color="auto"/>
              <w:bottom w:val="single" w:sz="4" w:space="0" w:color="auto"/>
            </w:tcBorders>
          </w:tcPr>
          <w:p w14:paraId="0885F717" w14:textId="14CD063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Islamic Finance Scholars</w:t>
            </w:r>
          </w:p>
        </w:tc>
        <w:tc>
          <w:tcPr>
            <w:tcW w:w="505" w:type="pct"/>
            <w:tcBorders>
              <w:top w:val="single" w:sz="4" w:space="0" w:color="auto"/>
              <w:bottom w:val="single" w:sz="4" w:space="0" w:color="auto"/>
            </w:tcBorders>
          </w:tcPr>
          <w:p w14:paraId="1664D72B" w14:textId="37F87C17" w:rsidR="003261E6" w:rsidRPr="00E94D47" w:rsidRDefault="003261E6" w:rsidP="003261E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Female</w:t>
            </w:r>
          </w:p>
        </w:tc>
        <w:tc>
          <w:tcPr>
            <w:tcW w:w="693" w:type="pct"/>
            <w:tcBorders>
              <w:top w:val="single" w:sz="4" w:space="0" w:color="auto"/>
              <w:bottom w:val="single" w:sz="4" w:space="0" w:color="auto"/>
            </w:tcBorders>
          </w:tcPr>
          <w:p w14:paraId="359F4DBC" w14:textId="20D7BE0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Sharia Fintech Researcher</w:t>
            </w:r>
          </w:p>
        </w:tc>
        <w:tc>
          <w:tcPr>
            <w:tcW w:w="807" w:type="pct"/>
            <w:tcBorders>
              <w:top w:val="single" w:sz="4" w:space="0" w:color="auto"/>
              <w:bottom w:val="single" w:sz="4" w:space="0" w:color="auto"/>
            </w:tcBorders>
          </w:tcPr>
          <w:p w14:paraId="3B75F938" w14:textId="134021E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Fintech Syariah</w:t>
            </w:r>
          </w:p>
        </w:tc>
        <w:tc>
          <w:tcPr>
            <w:tcW w:w="713" w:type="pct"/>
            <w:tcBorders>
              <w:top w:val="single" w:sz="4" w:space="0" w:color="auto"/>
              <w:bottom w:val="single" w:sz="4" w:space="0" w:color="auto"/>
            </w:tcBorders>
          </w:tcPr>
          <w:p w14:paraId="37E69D9B" w14:textId="1E61178C"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8</w:t>
            </w:r>
          </w:p>
        </w:tc>
        <w:tc>
          <w:tcPr>
            <w:tcW w:w="648" w:type="pct"/>
            <w:tcBorders>
              <w:top w:val="single" w:sz="4" w:space="0" w:color="auto"/>
              <w:bottom w:val="single" w:sz="4" w:space="0" w:color="auto"/>
            </w:tcBorders>
          </w:tcPr>
          <w:p w14:paraId="253908FE" w14:textId="0DD12908"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Jakarta (Virtual)</w:t>
            </w:r>
          </w:p>
        </w:tc>
      </w:tr>
      <w:tr w:rsidR="003261E6" w:rsidRPr="00E94D47" w14:paraId="1F56CAC6" w14:textId="77777777" w:rsidTr="003261E6">
        <w:trPr>
          <w:trHeight w:val="290"/>
          <w:jc w:val="center"/>
        </w:trPr>
        <w:tc>
          <w:tcPr>
            <w:tcW w:w="766" w:type="pct"/>
            <w:tcBorders>
              <w:top w:val="single" w:sz="4" w:space="0" w:color="auto"/>
              <w:bottom w:val="single" w:sz="4" w:space="0" w:color="auto"/>
            </w:tcBorders>
          </w:tcPr>
          <w:p w14:paraId="063236CD" w14:textId="2C1FE336"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P16</w:t>
            </w:r>
          </w:p>
        </w:tc>
        <w:tc>
          <w:tcPr>
            <w:tcW w:w="868" w:type="pct"/>
            <w:tcBorders>
              <w:top w:val="single" w:sz="4" w:space="0" w:color="auto"/>
              <w:bottom w:val="single" w:sz="4" w:space="0" w:color="auto"/>
            </w:tcBorders>
          </w:tcPr>
          <w:p w14:paraId="4F6D1676" w14:textId="5E5C5725"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Advisor DSN-MUI</w:t>
            </w:r>
          </w:p>
        </w:tc>
        <w:tc>
          <w:tcPr>
            <w:tcW w:w="505" w:type="pct"/>
            <w:tcBorders>
              <w:top w:val="single" w:sz="4" w:space="0" w:color="auto"/>
              <w:bottom w:val="single" w:sz="4" w:space="0" w:color="auto"/>
            </w:tcBorders>
          </w:tcPr>
          <w:p w14:paraId="27038B5B" w14:textId="2D38A82D" w:rsidR="003261E6" w:rsidRPr="00E94D47" w:rsidRDefault="003261E6" w:rsidP="003261E6">
            <w:pPr>
              <w:spacing w:line="240" w:lineRule="auto"/>
              <w:jc w:val="center"/>
              <w:rPr>
                <w:rFonts w:ascii="Times New Roman" w:eastAsia="Times New Roman" w:hAnsi="Times New Roman" w:cs="Times New Roman"/>
                <w:sz w:val="20"/>
                <w:szCs w:val="20"/>
              </w:rPr>
            </w:pPr>
            <w:r w:rsidRPr="00AD1EBB">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4E05D768" w14:textId="22736EAD"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Member DSN-MUI</w:t>
            </w:r>
          </w:p>
        </w:tc>
        <w:tc>
          <w:tcPr>
            <w:tcW w:w="807" w:type="pct"/>
            <w:tcBorders>
              <w:top w:val="single" w:sz="4" w:space="0" w:color="auto"/>
              <w:bottom w:val="single" w:sz="4" w:space="0" w:color="auto"/>
            </w:tcBorders>
          </w:tcPr>
          <w:p w14:paraId="51259735" w14:textId="7A294F0B"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DSN-MUI</w:t>
            </w:r>
          </w:p>
        </w:tc>
        <w:tc>
          <w:tcPr>
            <w:tcW w:w="713" w:type="pct"/>
            <w:tcBorders>
              <w:top w:val="single" w:sz="4" w:space="0" w:color="auto"/>
              <w:bottom w:val="single" w:sz="4" w:space="0" w:color="auto"/>
            </w:tcBorders>
          </w:tcPr>
          <w:p w14:paraId="2A26B1B5" w14:textId="1DCA52FB"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20</w:t>
            </w:r>
          </w:p>
        </w:tc>
        <w:tc>
          <w:tcPr>
            <w:tcW w:w="648" w:type="pct"/>
            <w:tcBorders>
              <w:top w:val="single" w:sz="4" w:space="0" w:color="auto"/>
              <w:bottom w:val="single" w:sz="4" w:space="0" w:color="auto"/>
            </w:tcBorders>
          </w:tcPr>
          <w:p w14:paraId="297C4459" w14:textId="431517EF"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Central Jakarta</w:t>
            </w:r>
          </w:p>
        </w:tc>
      </w:tr>
      <w:tr w:rsidR="003261E6" w:rsidRPr="00E94D47" w14:paraId="51DCF8F1" w14:textId="77777777" w:rsidTr="003261E6">
        <w:trPr>
          <w:trHeight w:val="290"/>
          <w:jc w:val="center"/>
        </w:trPr>
        <w:tc>
          <w:tcPr>
            <w:tcW w:w="766" w:type="pct"/>
            <w:tcBorders>
              <w:top w:val="single" w:sz="4" w:space="0" w:color="auto"/>
              <w:bottom w:val="single" w:sz="4" w:space="0" w:color="auto"/>
            </w:tcBorders>
          </w:tcPr>
          <w:p w14:paraId="2917F67D" w14:textId="68C7E7FD"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P17</w:t>
            </w:r>
          </w:p>
        </w:tc>
        <w:tc>
          <w:tcPr>
            <w:tcW w:w="868" w:type="pct"/>
            <w:tcBorders>
              <w:top w:val="single" w:sz="4" w:space="0" w:color="auto"/>
              <w:bottom w:val="single" w:sz="4" w:space="0" w:color="auto"/>
            </w:tcBorders>
          </w:tcPr>
          <w:p w14:paraId="1757DBB9" w14:textId="581BD0E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Advisor DSN-MUI</w:t>
            </w:r>
          </w:p>
        </w:tc>
        <w:tc>
          <w:tcPr>
            <w:tcW w:w="505" w:type="pct"/>
            <w:tcBorders>
              <w:top w:val="single" w:sz="4" w:space="0" w:color="auto"/>
              <w:bottom w:val="single" w:sz="4" w:space="0" w:color="auto"/>
            </w:tcBorders>
          </w:tcPr>
          <w:p w14:paraId="20951888" w14:textId="06814779" w:rsidR="003261E6" w:rsidRPr="00E94D47" w:rsidRDefault="003261E6" w:rsidP="003261E6">
            <w:pPr>
              <w:spacing w:line="240" w:lineRule="auto"/>
              <w:jc w:val="center"/>
              <w:rPr>
                <w:rFonts w:ascii="Times New Roman" w:eastAsia="Times New Roman" w:hAnsi="Times New Roman" w:cs="Times New Roman"/>
                <w:sz w:val="20"/>
                <w:szCs w:val="20"/>
              </w:rPr>
            </w:pPr>
            <w:r w:rsidRPr="00AD1EBB">
              <w:rPr>
                <w:rFonts w:ascii="Times New Roman" w:eastAsia="Times New Roman" w:hAnsi="Times New Roman" w:cs="Times New Roman"/>
                <w:sz w:val="20"/>
                <w:szCs w:val="20"/>
              </w:rPr>
              <w:t>Male</w:t>
            </w:r>
          </w:p>
        </w:tc>
        <w:tc>
          <w:tcPr>
            <w:tcW w:w="693" w:type="pct"/>
            <w:tcBorders>
              <w:top w:val="single" w:sz="4" w:space="0" w:color="auto"/>
              <w:bottom w:val="single" w:sz="4" w:space="0" w:color="auto"/>
            </w:tcBorders>
          </w:tcPr>
          <w:p w14:paraId="12DAE875" w14:textId="49F1073A"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Member DSN-MUI</w:t>
            </w:r>
          </w:p>
        </w:tc>
        <w:tc>
          <w:tcPr>
            <w:tcW w:w="807" w:type="pct"/>
            <w:tcBorders>
              <w:top w:val="single" w:sz="4" w:space="0" w:color="auto"/>
              <w:bottom w:val="single" w:sz="4" w:space="0" w:color="auto"/>
            </w:tcBorders>
          </w:tcPr>
          <w:p w14:paraId="73149C2E" w14:textId="176C81D0"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DSN-MUI</w:t>
            </w:r>
          </w:p>
        </w:tc>
        <w:tc>
          <w:tcPr>
            <w:tcW w:w="713" w:type="pct"/>
            <w:tcBorders>
              <w:top w:val="single" w:sz="4" w:space="0" w:color="auto"/>
              <w:bottom w:val="single" w:sz="4" w:space="0" w:color="auto"/>
            </w:tcBorders>
          </w:tcPr>
          <w:p w14:paraId="78B87C14" w14:textId="38BCD9B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10</w:t>
            </w:r>
          </w:p>
        </w:tc>
        <w:tc>
          <w:tcPr>
            <w:tcW w:w="648" w:type="pct"/>
            <w:tcBorders>
              <w:top w:val="single" w:sz="4" w:space="0" w:color="auto"/>
              <w:bottom w:val="single" w:sz="4" w:space="0" w:color="auto"/>
            </w:tcBorders>
          </w:tcPr>
          <w:p w14:paraId="587D16B5" w14:textId="1C0197C7" w:rsidR="003261E6" w:rsidRPr="00E94D47" w:rsidRDefault="003261E6" w:rsidP="003261E6">
            <w:pPr>
              <w:spacing w:line="240" w:lineRule="auto"/>
              <w:jc w:val="center"/>
              <w:rPr>
                <w:rFonts w:ascii="Times New Roman" w:eastAsia="Times New Roman" w:hAnsi="Times New Roman" w:cs="Times New Roman"/>
                <w:sz w:val="20"/>
                <w:szCs w:val="20"/>
              </w:rPr>
            </w:pPr>
            <w:r w:rsidRPr="00E94D47">
              <w:rPr>
                <w:rFonts w:ascii="Times New Roman" w:eastAsia="Times New Roman" w:hAnsi="Times New Roman" w:cs="Times New Roman"/>
                <w:bCs/>
                <w:sz w:val="20"/>
                <w:szCs w:val="20"/>
              </w:rPr>
              <w:t>Central Jakarta</w:t>
            </w:r>
          </w:p>
        </w:tc>
      </w:tr>
    </w:tbl>
    <w:p w14:paraId="5297D233" w14:textId="11381B60" w:rsidR="00695C73" w:rsidRPr="00E94D47" w:rsidRDefault="00704B6C" w:rsidP="003261E6">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 xml:space="preserve">Source: </w:t>
      </w:r>
      <w:r w:rsidRPr="003261E6">
        <w:rPr>
          <w:rFonts w:ascii="Times New Roman" w:eastAsia="Times New Roman" w:hAnsi="Times New Roman" w:cs="Times New Roman"/>
          <w:bCs/>
        </w:rPr>
        <w:t>Processed Data (2025)</w:t>
      </w:r>
    </w:p>
    <w:p w14:paraId="2410868C" w14:textId="77777777" w:rsidR="00695C73" w:rsidRPr="00E94D47" w:rsidRDefault="00695C73" w:rsidP="00E94D47">
      <w:pPr>
        <w:spacing w:line="240" w:lineRule="auto"/>
        <w:rPr>
          <w:rFonts w:ascii="Times New Roman" w:eastAsia="Times New Roman" w:hAnsi="Times New Roman" w:cs="Times New Roman"/>
          <w:bCs/>
        </w:rPr>
      </w:pPr>
    </w:p>
    <w:p w14:paraId="4484180C" w14:textId="04EB9EDD" w:rsidR="00695C73" w:rsidRPr="00E94D47" w:rsidRDefault="00695C73" w:rsidP="003261E6">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This sampling strategy ensured diverse perspectives across institutional contexts (large/small mosques, traditional/modern management styles), generational cohorts (younger scholars vs. senior advisors), and professional expertise (operational mosque management vs. academic scholarship vs. regulatory oversight).</w:t>
      </w:r>
    </w:p>
    <w:p w14:paraId="1AF05226" w14:textId="77777777" w:rsidR="00695C73" w:rsidRPr="00E94D47" w:rsidRDefault="00695C73" w:rsidP="003261E6">
      <w:pPr>
        <w:spacing w:line="240" w:lineRule="auto"/>
        <w:ind w:firstLine="567"/>
        <w:rPr>
          <w:rFonts w:ascii="Times New Roman" w:eastAsia="Times New Roman" w:hAnsi="Times New Roman" w:cs="Times New Roman"/>
          <w:b/>
        </w:rPr>
      </w:pPr>
    </w:p>
    <w:p w14:paraId="0088DACE" w14:textId="77777777" w:rsidR="001F0B4A" w:rsidRPr="00E94D47" w:rsidRDefault="001F0B4A" w:rsidP="00E94D47">
      <w:pPr>
        <w:spacing w:line="240" w:lineRule="auto"/>
        <w:rPr>
          <w:rFonts w:ascii="Times New Roman" w:eastAsia="Times New Roman" w:hAnsi="Times New Roman" w:cs="Times New Roman"/>
          <w:b/>
          <w:lang w:val="en-US"/>
        </w:rPr>
      </w:pPr>
      <w:r w:rsidRPr="00E94D47">
        <w:rPr>
          <w:rFonts w:ascii="Times New Roman" w:eastAsia="Times New Roman" w:hAnsi="Times New Roman" w:cs="Times New Roman"/>
          <w:b/>
          <w:lang w:val="en-US"/>
        </w:rPr>
        <w:lastRenderedPageBreak/>
        <w:t>QRIS Transaction Structural Analysis</w:t>
      </w:r>
    </w:p>
    <w:p w14:paraId="1DF7ECF5" w14:textId="77777777" w:rsidR="0008071A" w:rsidRPr="00E94D47" w:rsidRDefault="0008071A"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Empirical findings indicate that mosque donations facilitated through QRIS and funded by conventional credit cards involve a multi-layered contractual structure comprising six distinct contractual relationships.</w:t>
      </w:r>
    </w:p>
    <w:p w14:paraId="18B078CD" w14:textId="33659623" w:rsidR="0008071A" w:rsidRPr="00E94D47" w:rsidRDefault="0008071A"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The first layer is the primary donation contract between the donor and the mosque. This relationship is categorized in Islamic jurisprudence as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xml:space="preserve">, in which ownership of donated funds is transferred voluntarily without expectation of compensation. Although legally unilateral,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xml:space="preserve"> carries moral and ethical obligations within Islamic law</w:t>
      </w:r>
      <w:r w:rsidR="0054443B" w:rsidRPr="00E94D47">
        <w:rPr>
          <w:rFonts w:ascii="Times New Roman" w:eastAsia="Times New Roman" w:hAnsi="Times New Roman" w:cs="Times New Roman"/>
          <w:bCs/>
          <w:lang w:val="en-ID"/>
        </w:rPr>
        <w:t>.</w:t>
      </w:r>
      <w:r w:rsidR="00C603FE">
        <w:rPr>
          <w:rFonts w:ascii="Times New Roman" w:eastAsia="Times New Roman" w:hAnsi="Times New Roman" w:cs="Times New Roman"/>
          <w:bCs/>
          <w:lang w:val="en-ID"/>
        </w:rPr>
        <w:t xml:space="preserve"> </w:t>
      </w:r>
      <w:r w:rsidRPr="00E94D47">
        <w:rPr>
          <w:rFonts w:ascii="Times New Roman" w:eastAsia="Times New Roman" w:hAnsi="Times New Roman" w:cs="Times New Roman"/>
          <w:bCs/>
          <w:lang w:val="en-ID"/>
        </w:rPr>
        <w:t xml:space="preserve">The second layer consists of the credit extension agreement between the cardholder and the issuing conventional bank. This relationship is based on debt financing, whereby the cardholder is obligated to repay the principal amount and, if repayment exceeds the grace period, additional interest charges. This layer constitutes the primary source of potential </w:t>
      </w:r>
      <w:r w:rsidR="005E6FB2" w:rsidRPr="00E94D47">
        <w:rPr>
          <w:rFonts w:ascii="Times New Roman" w:eastAsia="Times New Roman" w:hAnsi="Times New Roman" w:cs="Times New Roman"/>
          <w:bCs/>
          <w:lang w:val="en-ID"/>
        </w:rPr>
        <w:t xml:space="preserve">RIBA </w:t>
      </w:r>
      <w:r w:rsidRPr="00E94D47">
        <w:rPr>
          <w:rFonts w:ascii="Times New Roman" w:eastAsia="Times New Roman" w:hAnsi="Times New Roman" w:cs="Times New Roman"/>
          <w:bCs/>
          <w:lang w:val="en-ID"/>
        </w:rPr>
        <w:t>exposure within the transaction chain.</w:t>
      </w:r>
      <w:r w:rsidR="003261E6">
        <w:rPr>
          <w:rFonts w:ascii="Times New Roman" w:eastAsia="Times New Roman" w:hAnsi="Times New Roman" w:cs="Times New Roman"/>
          <w:bCs/>
          <w:lang w:val="en-ID"/>
        </w:rPr>
        <w:t xml:space="preserve"> </w:t>
      </w:r>
      <w:r w:rsidR="00E350F6" w:rsidRPr="00E94D47">
        <w:rPr>
          <w:rFonts w:ascii="Times New Roman" w:eastAsia="Times New Roman" w:hAnsi="Times New Roman" w:cs="Times New Roman"/>
          <w:bCs/>
        </w:rPr>
        <w:t>The third layer involves payment authorization between the cardholder and the QRIS payment service provider, functioning as an agency contract (</w:t>
      </w:r>
      <w:proofErr w:type="spellStart"/>
      <w:r w:rsidR="00E350F6" w:rsidRPr="00E94D47">
        <w:rPr>
          <w:rFonts w:ascii="Times New Roman" w:eastAsia="Times New Roman" w:hAnsi="Times New Roman" w:cs="Times New Roman"/>
          <w:bCs/>
        </w:rPr>
        <w:t>wakalah</w:t>
      </w:r>
      <w:proofErr w:type="spellEnd"/>
      <w:r w:rsidR="00E350F6" w:rsidRPr="00E94D47">
        <w:rPr>
          <w:rFonts w:ascii="Times New Roman" w:eastAsia="Times New Roman" w:hAnsi="Times New Roman" w:cs="Times New Roman"/>
          <w:bCs/>
        </w:rPr>
        <w:t>), which transmits transaction instructions and authenticates electronic payments.</w:t>
      </w:r>
      <w:r w:rsidR="003261E6">
        <w:rPr>
          <w:rFonts w:ascii="Times New Roman" w:eastAsia="Times New Roman" w:hAnsi="Times New Roman" w:cs="Times New Roman"/>
          <w:bCs/>
          <w:lang w:val="en-ID"/>
        </w:rPr>
        <w:t xml:space="preserve"> </w:t>
      </w:r>
      <w:r w:rsidRPr="00E94D47">
        <w:rPr>
          <w:rFonts w:ascii="Times New Roman" w:eastAsia="Times New Roman" w:hAnsi="Times New Roman" w:cs="Times New Roman"/>
          <w:bCs/>
          <w:lang w:val="en-ID"/>
        </w:rPr>
        <w:t>The fourth layer concerns merchant settlement, wherein the acquiring bank credits the mosque’s account based on settlement arrangements with the payment service provider. The fifth layer includes interbank settlement and clearing mechanisms among financial institutions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facilitating the transaction</w:t>
      </w:r>
      <w:r w:rsidR="00E350F6" w:rsidRPr="00E94D47">
        <w:rPr>
          <w:rFonts w:ascii="Times New Roman" w:eastAsia="Times New Roman" w:hAnsi="Times New Roman" w:cs="Times New Roman"/>
          <w:bCs/>
          <w:lang w:val="en-ID"/>
        </w:rPr>
        <w:t>,</w:t>
      </w:r>
      <w:r w:rsidR="00E350F6" w:rsidRPr="00E94D47">
        <w:rPr>
          <w:rFonts w:ascii="Times New Roman" w:hAnsi="Times New Roman" w:cs="Times New Roman"/>
        </w:rPr>
        <w:t xml:space="preserve"> </w:t>
      </w:r>
      <w:r w:rsidR="00E350F6" w:rsidRPr="00E94D47">
        <w:rPr>
          <w:rFonts w:ascii="Times New Roman" w:eastAsia="Times New Roman" w:hAnsi="Times New Roman" w:cs="Times New Roman"/>
          <w:bCs/>
        </w:rPr>
        <w:t>governed by Bank Indonesia regulations (Bank Indonesia, 2019).</w:t>
      </w:r>
      <w:r w:rsidR="003261E6">
        <w:rPr>
          <w:rFonts w:ascii="Times New Roman" w:eastAsia="Times New Roman" w:hAnsi="Times New Roman" w:cs="Times New Roman"/>
          <w:bCs/>
          <w:lang w:val="en-ID"/>
        </w:rPr>
        <w:t xml:space="preserve"> </w:t>
      </w:r>
      <w:r w:rsidRPr="00E94D47">
        <w:rPr>
          <w:rFonts w:ascii="Times New Roman" w:eastAsia="Times New Roman" w:hAnsi="Times New Roman" w:cs="Times New Roman"/>
          <w:bCs/>
          <w:lang w:val="en-ID"/>
        </w:rPr>
        <w:t>A sixth layer may arise in cases involving cross-border transactions or multi-currency processing, resulting in foreign exchange conversion arrangements.</w:t>
      </w:r>
    </w:p>
    <w:p w14:paraId="45171C3A" w14:textId="38B02080" w:rsidR="0008071A" w:rsidRPr="00E94D47" w:rsidRDefault="0008071A"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Interview data reveal that no explicit interest charges occur at the point of donation execution. Interest accrual arises only if the cardholder fails to settle the outstanding balance within the applicable grace period, which typically ranges between 20 and 55 days. This temporal separation between donation execution and interest realization generates ambiguity regarding the </w:t>
      </w:r>
      <w:r w:rsidR="005E6FB2" w:rsidRPr="00E94D47">
        <w:rPr>
          <w:rFonts w:ascii="Times New Roman" w:eastAsia="Times New Roman" w:hAnsi="Times New Roman" w:cs="Times New Roman"/>
          <w:bCs/>
          <w:lang w:val="en-ID"/>
        </w:rPr>
        <w:t xml:space="preserve">Sharia </w:t>
      </w:r>
      <w:r w:rsidRPr="00E94D47">
        <w:rPr>
          <w:rFonts w:ascii="Times New Roman" w:eastAsia="Times New Roman" w:hAnsi="Times New Roman" w:cs="Times New Roman"/>
          <w:bCs/>
          <w:lang w:val="en-ID"/>
        </w:rPr>
        <w:t>status of the transaction, particularly from the perspectives of donors and mosque institutions.</w:t>
      </w:r>
    </w:p>
    <w:p w14:paraId="4C7D831F" w14:textId="5C138780" w:rsidR="001F0B4A" w:rsidRPr="00E94D47" w:rsidRDefault="00E350F6" w:rsidP="00E94D47">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 xml:space="preserve">Furthermore, interviews across all participant categories revealed substantial information asymmetry. Mosque administrators (10/10) consistently reported limited understanding of these layered contractual relationships, with 8 of 10 stating they had never considered the multi-party structure behind QRIS payments. Islamic scholars (4/5) confirmed that even educated donors generally lack awareness of how QRIS processes credit card transactions. DSN-MUI advisors (2/2) acknowledged </w:t>
      </w:r>
      <w:r w:rsidR="005E6FB2" w:rsidRPr="00E94D47">
        <w:rPr>
          <w:rFonts w:ascii="Times New Roman" w:eastAsia="Times New Roman" w:hAnsi="Times New Roman" w:cs="Times New Roman"/>
          <w:bCs/>
        </w:rPr>
        <w:t xml:space="preserve">that </w:t>
      </w:r>
      <w:r w:rsidRPr="00E94D47">
        <w:rPr>
          <w:rFonts w:ascii="Times New Roman" w:eastAsia="Times New Roman" w:hAnsi="Times New Roman" w:cs="Times New Roman"/>
          <w:bCs/>
        </w:rPr>
        <w:t xml:space="preserve">this complexity poses challenges for effective institutional governance, as stakeholders cannot regulate </w:t>
      </w:r>
      <w:proofErr w:type="gramStart"/>
      <w:r w:rsidRPr="00E94D47">
        <w:rPr>
          <w:rFonts w:ascii="Times New Roman" w:eastAsia="Times New Roman" w:hAnsi="Times New Roman" w:cs="Times New Roman"/>
          <w:bCs/>
        </w:rPr>
        <w:t>risks</w:t>
      </w:r>
      <w:proofErr w:type="gramEnd"/>
      <w:r w:rsidRPr="00E94D47">
        <w:rPr>
          <w:rFonts w:ascii="Times New Roman" w:eastAsia="Times New Roman" w:hAnsi="Times New Roman" w:cs="Times New Roman"/>
          <w:bCs/>
        </w:rPr>
        <w:t xml:space="preserve"> they do not comprehend.</w:t>
      </w:r>
    </w:p>
    <w:p w14:paraId="2CA24EAB" w14:textId="481A6DED" w:rsidR="00E350F6" w:rsidRPr="00E94D47" w:rsidRDefault="00E350F6" w:rsidP="00E94D47">
      <w:pPr>
        <w:spacing w:line="240" w:lineRule="auto"/>
        <w:ind w:firstLine="567"/>
        <w:jc w:val="both"/>
        <w:rPr>
          <w:rFonts w:ascii="Times New Roman" w:eastAsia="Times New Roman" w:hAnsi="Times New Roman" w:cs="Times New Roman"/>
          <w:bCs/>
        </w:rPr>
      </w:pPr>
      <w:r w:rsidRPr="00E94D47">
        <w:rPr>
          <w:rFonts w:ascii="Times New Roman" w:eastAsia="Times New Roman" w:hAnsi="Times New Roman" w:cs="Times New Roman"/>
          <w:bCs/>
        </w:rPr>
        <w:t xml:space="preserve">While the primary </w:t>
      </w:r>
      <w:proofErr w:type="spellStart"/>
      <w:r w:rsidRPr="00E94D47">
        <w:rPr>
          <w:rFonts w:ascii="Times New Roman" w:eastAsia="Times New Roman" w:hAnsi="Times New Roman" w:cs="Times New Roman"/>
          <w:bCs/>
        </w:rPr>
        <w:t>hibah</w:t>
      </w:r>
      <w:proofErr w:type="spellEnd"/>
      <w:r w:rsidRPr="00E94D47">
        <w:rPr>
          <w:rFonts w:ascii="Times New Roman" w:eastAsia="Times New Roman" w:hAnsi="Times New Roman" w:cs="Times New Roman"/>
          <w:bCs/>
        </w:rPr>
        <w:t xml:space="preserve"> contract satisfies classical Islamic jurisprudential requirements, the aggregate transaction structure becomes problematic when the credit extension layer involves interest-bearing debt. The empirical data from mosque administrator interviews (n=10) revealed that interest accrues only at the donor's end if balances remain unpaid beyond grace periods, </w:t>
      </w:r>
      <w:r w:rsidR="005E6FB2" w:rsidRPr="00E94D47">
        <w:rPr>
          <w:rFonts w:ascii="Times New Roman" w:eastAsia="Times New Roman" w:hAnsi="Times New Roman" w:cs="Times New Roman"/>
          <w:bCs/>
        </w:rPr>
        <w:t xml:space="preserve">and </w:t>
      </w:r>
      <w:r w:rsidRPr="00E94D47">
        <w:rPr>
          <w:rFonts w:ascii="Times New Roman" w:eastAsia="Times New Roman" w:hAnsi="Times New Roman" w:cs="Times New Roman"/>
          <w:bCs/>
        </w:rPr>
        <w:t xml:space="preserve">no direct interest charges affect the mosque as </w:t>
      </w:r>
      <w:r w:rsidR="005E6FB2" w:rsidRPr="00E94D47">
        <w:rPr>
          <w:rFonts w:ascii="Times New Roman" w:eastAsia="Times New Roman" w:hAnsi="Times New Roman" w:cs="Times New Roman"/>
          <w:bCs/>
        </w:rPr>
        <w:t xml:space="preserve">the </w:t>
      </w:r>
      <w:r w:rsidRPr="00E94D47">
        <w:rPr>
          <w:rFonts w:ascii="Times New Roman" w:eastAsia="Times New Roman" w:hAnsi="Times New Roman" w:cs="Times New Roman"/>
          <w:bCs/>
        </w:rPr>
        <w:t xml:space="preserve">recipient. However, this temporal and spatial separation of </w:t>
      </w:r>
      <w:proofErr w:type="spellStart"/>
      <w:r w:rsidRPr="00E94D47">
        <w:rPr>
          <w:rFonts w:ascii="Times New Roman" w:eastAsia="Times New Roman" w:hAnsi="Times New Roman" w:cs="Times New Roman"/>
          <w:bCs/>
        </w:rPr>
        <w:t>riba</w:t>
      </w:r>
      <w:proofErr w:type="spellEnd"/>
      <w:r w:rsidRPr="00E94D47">
        <w:rPr>
          <w:rFonts w:ascii="Times New Roman" w:eastAsia="Times New Roman" w:hAnsi="Times New Roman" w:cs="Times New Roman"/>
          <w:bCs/>
        </w:rPr>
        <w:t xml:space="preserve"> exposure creates governance ambiguity regarding institutional responsibility, compounded by the widespread lack of contractual awareness documented across all participant categories.</w:t>
      </w:r>
    </w:p>
    <w:p w14:paraId="5C01F150" w14:textId="77777777" w:rsidR="0086295B" w:rsidRPr="00E94D47" w:rsidRDefault="0086295B" w:rsidP="00E94D47">
      <w:pPr>
        <w:spacing w:line="240" w:lineRule="auto"/>
        <w:rPr>
          <w:rFonts w:ascii="Times New Roman" w:eastAsia="Times New Roman" w:hAnsi="Times New Roman" w:cs="Times New Roman"/>
          <w:bCs/>
        </w:rPr>
      </w:pPr>
    </w:p>
    <w:p w14:paraId="061C1A3A" w14:textId="029EA9D2" w:rsidR="001F0B4A" w:rsidRPr="00E94D47" w:rsidRDefault="001F0B4A" w:rsidP="00E94D47">
      <w:pPr>
        <w:spacing w:line="240" w:lineRule="auto"/>
        <w:rPr>
          <w:rFonts w:ascii="Times New Roman" w:eastAsia="Times New Roman" w:hAnsi="Times New Roman" w:cs="Times New Roman"/>
          <w:bCs/>
          <w:lang w:val="en-US"/>
        </w:rPr>
      </w:pPr>
      <w:r w:rsidRPr="00E94D47">
        <w:rPr>
          <w:rFonts w:ascii="Times New Roman" w:eastAsia="Times New Roman" w:hAnsi="Times New Roman" w:cs="Times New Roman"/>
          <w:b/>
          <w:bCs/>
          <w:lang w:val="en-US"/>
        </w:rPr>
        <w:t xml:space="preserve">Sharia Compliance </w:t>
      </w:r>
      <w:r w:rsidR="00B36A50" w:rsidRPr="00E94D47">
        <w:rPr>
          <w:rFonts w:ascii="Times New Roman" w:eastAsia="Times New Roman" w:hAnsi="Times New Roman" w:cs="Times New Roman"/>
          <w:b/>
          <w:bCs/>
          <w:lang w:val="en-US"/>
        </w:rPr>
        <w:t>Risk Categories</w:t>
      </w:r>
    </w:p>
    <w:p w14:paraId="5705444A" w14:textId="77777777" w:rsidR="00B36A50" w:rsidRPr="00E94D47" w:rsidRDefault="00B36A50"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Analysis of interview data, combined with contractual examination and fatwa review, identified three distinct categories of sharia compliance risk operating at different levels of the transaction chain.</w:t>
      </w:r>
    </w:p>
    <w:p w14:paraId="667F141B" w14:textId="54AED6DE" w:rsidR="00E46DF7" w:rsidRPr="00E94D47" w:rsidRDefault="00B36A50"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The most direct risk involves explicit interest charges when cardholders maintain unpaid balances beyond grace periods. Empirical data from interviews indicated that approximately 35-40% of mosque donors using credit cards for QRIS donations likely carry interest-bearing balances. This estimate emerged from mosque administrators familiar with their congregants' </w:t>
      </w:r>
      <w:r w:rsidRPr="00E94D47">
        <w:rPr>
          <w:rFonts w:ascii="Times New Roman" w:eastAsia="Times New Roman" w:hAnsi="Times New Roman" w:cs="Times New Roman"/>
          <w:bCs/>
          <w:lang w:val="en-ID"/>
        </w:rPr>
        <w:lastRenderedPageBreak/>
        <w:t xml:space="preserve">financial </w:t>
      </w:r>
      <w:proofErr w:type="spellStart"/>
      <w:r w:rsidRPr="00E94D47">
        <w:rPr>
          <w:rFonts w:ascii="Times New Roman" w:eastAsia="Times New Roman" w:hAnsi="Times New Roman" w:cs="Times New Roman"/>
          <w:bCs/>
          <w:lang w:val="en-ID"/>
        </w:rPr>
        <w:t>behaviors</w:t>
      </w:r>
      <w:proofErr w:type="spellEnd"/>
      <w:r w:rsidRPr="00E94D47">
        <w:rPr>
          <w:rFonts w:ascii="Times New Roman" w:eastAsia="Times New Roman" w:hAnsi="Times New Roman" w:cs="Times New Roman"/>
          <w:bCs/>
          <w:lang w:val="en-ID"/>
        </w:rPr>
        <w:t xml:space="preserve">, Islamic scholars who counsel community members, and DSN-MUI advisors aware of broader usage patterns. This proportion directly violates DSN-MUI Fatwa 92/2014, which permits credit cards only when users avoid interest entirely. </w:t>
      </w:r>
      <w:r w:rsidR="00E46DF7" w:rsidRPr="00E94D47">
        <w:rPr>
          <w:rFonts w:ascii="Times New Roman" w:eastAsia="Times New Roman" w:hAnsi="Times New Roman" w:cs="Times New Roman"/>
          <w:bCs/>
          <w:lang w:val="en-ID"/>
        </w:rPr>
        <w:t xml:space="preserve">What struck researchers during interviews was that this non-compliance rate substantially exceeds the 15-20% </w:t>
      </w:r>
      <w:proofErr w:type="spellStart"/>
      <w:r w:rsidR="00E46DF7" w:rsidRPr="00E94D47">
        <w:rPr>
          <w:rFonts w:ascii="Times New Roman" w:eastAsia="Times New Roman" w:hAnsi="Times New Roman" w:cs="Times New Roman"/>
          <w:bCs/>
          <w:lang w:val="en-ID"/>
        </w:rPr>
        <w:t>riba</w:t>
      </w:r>
      <w:proofErr w:type="spellEnd"/>
      <w:r w:rsidR="00E46DF7" w:rsidRPr="00E94D47">
        <w:rPr>
          <w:rFonts w:ascii="Times New Roman" w:eastAsia="Times New Roman" w:hAnsi="Times New Roman" w:cs="Times New Roman"/>
          <w:bCs/>
          <w:lang w:val="en-ID"/>
        </w:rPr>
        <w:t xml:space="preserve"> exposure typically estimated in conventional Islamic banking contexts, where institutions implement various safeguards and monitoring systems. One Islamic finance scholar articulated the disconnect between normative requirements and actual practice bluntly: "The fatwa is very </w:t>
      </w:r>
      <w:proofErr w:type="gramStart"/>
      <w:r w:rsidR="00E46DF7" w:rsidRPr="00E94D47">
        <w:rPr>
          <w:rFonts w:ascii="Times New Roman" w:eastAsia="Times New Roman" w:hAnsi="Times New Roman" w:cs="Times New Roman"/>
          <w:bCs/>
          <w:lang w:val="en-ID"/>
        </w:rPr>
        <w:t>clear</w:t>
      </w:r>
      <w:r w:rsidR="005E6FB2" w:rsidRPr="00E94D47">
        <w:rPr>
          <w:rFonts w:ascii="Times New Roman" w:eastAsia="Times New Roman" w:hAnsi="Times New Roman" w:cs="Times New Roman"/>
          <w:bCs/>
          <w:lang w:val="en-ID"/>
        </w:rPr>
        <w:t>,</w:t>
      </w:r>
      <w:proofErr w:type="gramEnd"/>
      <w:r w:rsidR="00E46DF7" w:rsidRPr="00E94D47">
        <w:rPr>
          <w:rFonts w:ascii="Times New Roman" w:eastAsia="Times New Roman" w:hAnsi="Times New Roman" w:cs="Times New Roman"/>
          <w:bCs/>
          <w:lang w:val="en-ID"/>
        </w:rPr>
        <w:t xml:space="preserve"> credit cards are only halal if you pay in full before interest kicks in. But in practice? Most Muslims in Indonesia don't follow this. They carry balances, </w:t>
      </w:r>
      <w:r w:rsidR="005E6FB2" w:rsidRPr="00E94D47">
        <w:rPr>
          <w:rFonts w:ascii="Times New Roman" w:eastAsia="Times New Roman" w:hAnsi="Times New Roman" w:cs="Times New Roman"/>
          <w:bCs/>
          <w:lang w:val="en-ID"/>
        </w:rPr>
        <w:t xml:space="preserve">and </w:t>
      </w:r>
      <w:r w:rsidR="00E46DF7" w:rsidRPr="00E94D47">
        <w:rPr>
          <w:rFonts w:ascii="Times New Roman" w:eastAsia="Times New Roman" w:hAnsi="Times New Roman" w:cs="Times New Roman"/>
          <w:bCs/>
          <w:lang w:val="en-ID"/>
        </w:rPr>
        <w:t xml:space="preserve">they pay minimum payments. When they donate to the mosque using these cards, the donation itself might be valid as </w:t>
      </w:r>
      <w:proofErr w:type="spellStart"/>
      <w:r w:rsidR="00E46DF7" w:rsidRPr="00E94D47">
        <w:rPr>
          <w:rFonts w:ascii="Times New Roman" w:eastAsia="Times New Roman" w:hAnsi="Times New Roman" w:cs="Times New Roman"/>
          <w:bCs/>
          <w:lang w:val="en-ID"/>
        </w:rPr>
        <w:t>hibah</w:t>
      </w:r>
      <w:proofErr w:type="spellEnd"/>
      <w:r w:rsidR="00E46DF7" w:rsidRPr="00E94D47">
        <w:rPr>
          <w:rFonts w:ascii="Times New Roman" w:eastAsia="Times New Roman" w:hAnsi="Times New Roman" w:cs="Times New Roman"/>
          <w:bCs/>
          <w:lang w:val="en-ID"/>
        </w:rPr>
        <w:t>, but the funding source is problematic. And mosques have no idea this is happening."</w:t>
      </w:r>
    </w:p>
    <w:p w14:paraId="71D9EA00" w14:textId="6E32F227" w:rsidR="00B36A50" w:rsidRPr="00E94D47" w:rsidRDefault="00E46DF7"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This lack of institutional awareness became even clearer when administrators began informally investigating donor </w:t>
      </w:r>
      <w:proofErr w:type="spellStart"/>
      <w:r w:rsidRPr="00E94D47">
        <w:rPr>
          <w:rFonts w:ascii="Times New Roman" w:eastAsia="Times New Roman" w:hAnsi="Times New Roman" w:cs="Times New Roman"/>
          <w:bCs/>
          <w:lang w:val="en-ID"/>
        </w:rPr>
        <w:t>behaviors</w:t>
      </w:r>
      <w:proofErr w:type="spellEnd"/>
      <w:r w:rsidRPr="00E94D47">
        <w:rPr>
          <w:rFonts w:ascii="Times New Roman" w:eastAsia="Times New Roman" w:hAnsi="Times New Roman" w:cs="Times New Roman"/>
          <w:bCs/>
          <w:lang w:val="en-ID"/>
        </w:rPr>
        <w:t>. One administrator from a large urban mosque explained that after becoming curious about the issue, they started asking regular donors unofficially about their credit card practices. The responses were revealing: "Several admitted they sometimes carry credit card balances. One donor told us honestly: 'I donate 500,000 rupiah every month via QRIS using my credit card, but yes, I usually only pay the minimum payment. I didn't think it was a problem since I'm doing something good</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giving to the mosque.'" This donor's response captures the ethical bracketing phenomenon</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the psychological separation between charitable intentions and financial instrument compliance that contributes to the elevated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exposure rates documented in this study.</w:t>
      </w:r>
    </w:p>
    <w:p w14:paraId="3436177D" w14:textId="5B3D95CE" w:rsidR="00B36A50" w:rsidRPr="00E94D47" w:rsidRDefault="00B36A50"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The second risk category relates to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transparency and authenticity of donation sourcing. Participants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particularly Islamic scholars (4/5) and mosque administrators (6/10)</w:t>
      </w:r>
      <w:r w:rsidR="00C603FE">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raised questions about the spiritual legitimacy of donations funded from borrowed money rather than owned wealth. Classical </w:t>
      </w:r>
      <w:proofErr w:type="spellStart"/>
      <w:r w:rsidRPr="00E94D47">
        <w:rPr>
          <w:rFonts w:ascii="Times New Roman" w:eastAsia="Times New Roman" w:hAnsi="Times New Roman" w:cs="Times New Roman"/>
          <w:bCs/>
          <w:lang w:val="en-ID"/>
        </w:rPr>
        <w:t>fiqh</w:t>
      </w:r>
      <w:proofErr w:type="spellEnd"/>
      <w:r w:rsidRPr="00E94D47">
        <w:rPr>
          <w:rFonts w:ascii="Times New Roman" w:eastAsia="Times New Roman" w:hAnsi="Times New Roman" w:cs="Times New Roman"/>
          <w:bCs/>
          <w:lang w:val="en-ID"/>
        </w:rPr>
        <w:t xml:space="preserve"> traditions emphasize that charitable giving should involve personal resource sacrifice from accumulated wealth (milk tam), not from future earnings borrowed against. </w:t>
      </w:r>
      <w:r w:rsidR="00E46DF7" w:rsidRPr="00E94D47">
        <w:rPr>
          <w:rFonts w:ascii="Times New Roman" w:eastAsia="Times New Roman" w:hAnsi="Times New Roman" w:cs="Times New Roman"/>
          <w:bCs/>
          <w:lang w:val="en-ID"/>
        </w:rPr>
        <w:t xml:space="preserve">This concern doesn't involve explicit </w:t>
      </w:r>
      <w:r w:rsidR="005E6FB2" w:rsidRPr="00E94D47">
        <w:rPr>
          <w:rFonts w:ascii="Times New Roman" w:eastAsia="Times New Roman" w:hAnsi="Times New Roman" w:cs="Times New Roman"/>
          <w:bCs/>
          <w:lang w:val="en-ID"/>
        </w:rPr>
        <w:t xml:space="preserve">Sharia </w:t>
      </w:r>
      <w:r w:rsidR="00E46DF7" w:rsidRPr="00E94D47">
        <w:rPr>
          <w:rFonts w:ascii="Times New Roman" w:eastAsia="Times New Roman" w:hAnsi="Times New Roman" w:cs="Times New Roman"/>
          <w:bCs/>
          <w:lang w:val="en-ID"/>
        </w:rPr>
        <w:t>violations like interest charges do, but rather questions whether the spirit of charitable giving is compromised when donors use credit rather than their own resources. One scholar articulated this philosophical tension particularly clearly, noting that beyond technical interest calculations, a deeper issue emerges: "Even if someone pays their credit card on time</w:t>
      </w:r>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no </w:t>
      </w:r>
      <w:proofErr w:type="spellStart"/>
      <w:r w:rsidR="00E46DF7" w:rsidRPr="00E94D47">
        <w:rPr>
          <w:rFonts w:ascii="Times New Roman" w:eastAsia="Times New Roman" w:hAnsi="Times New Roman" w:cs="Times New Roman"/>
          <w:bCs/>
          <w:lang w:val="en-ID"/>
        </w:rPr>
        <w:t>riba</w:t>
      </w:r>
      <w:proofErr w:type="spellEnd"/>
      <w:r w:rsidR="00E46DF7" w:rsidRPr="00E94D47">
        <w:rPr>
          <w:rFonts w:ascii="Times New Roman" w:eastAsia="Times New Roman" w:hAnsi="Times New Roman" w:cs="Times New Roman"/>
          <w:bCs/>
          <w:lang w:val="en-ID"/>
        </w:rPr>
        <w:t xml:space="preserve"> technically</w:t>
      </w:r>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are they really giving charity if they're using borrowed money? Traditional understanding says you should donate from your own wealth, not from a loan you haven't paid back yet. It's about the spiritual meaning of sacrifice, not just technical contract compliance." This perspective reflects classical </w:t>
      </w:r>
      <w:proofErr w:type="spellStart"/>
      <w:r w:rsidR="00E46DF7" w:rsidRPr="00E94D47">
        <w:rPr>
          <w:rFonts w:ascii="Times New Roman" w:eastAsia="Times New Roman" w:hAnsi="Times New Roman" w:cs="Times New Roman"/>
          <w:bCs/>
          <w:lang w:val="en-ID"/>
        </w:rPr>
        <w:t>fiqh</w:t>
      </w:r>
      <w:proofErr w:type="spellEnd"/>
      <w:r w:rsidR="00E46DF7" w:rsidRPr="00E94D47">
        <w:rPr>
          <w:rFonts w:ascii="Times New Roman" w:eastAsia="Times New Roman" w:hAnsi="Times New Roman" w:cs="Times New Roman"/>
          <w:bCs/>
          <w:lang w:val="en-ID"/>
        </w:rPr>
        <w:t xml:space="preserve"> emphases on charitable giving as personal resource sacrifice</w:t>
      </w:r>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demonstrating genuine devotion and wealth purification, values that may be undermined when donations originate from debt facilities</w:t>
      </w:r>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even when interest is theoretically avoided.</w:t>
      </w:r>
    </w:p>
    <w:p w14:paraId="52ED5995" w14:textId="7D494ABD" w:rsidR="00E46DF7" w:rsidRPr="00E94D47" w:rsidRDefault="00B36A50"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The third risk category involves institutional accountability ambiguity, where participant perspectives diverged significantly. </w:t>
      </w:r>
      <w:r w:rsidR="00E46DF7" w:rsidRPr="00E94D47">
        <w:rPr>
          <w:rFonts w:ascii="Times New Roman" w:eastAsia="Times New Roman" w:hAnsi="Times New Roman" w:cs="Times New Roman"/>
          <w:bCs/>
          <w:lang w:val="en-ID"/>
        </w:rPr>
        <w:t>Forty percent of participants (7/17) emphasized individual donor accountability, arguing that each person bears responsibility for their own financial decisions. These stakeholders, predominantly older administrators and traditionally-oriented scholars, maintained that if someone donates using a credit card</w:t>
      </w:r>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accruing interest, the responsibility resides with that donor, not the mosque. One administrator from a traditional community mosque expressed this position clearly: "In Islam, each person is responsible for their own actions. If someone donates using haram money, the sin is on them, not the mosque. We're just receiving </w:t>
      </w:r>
      <w:proofErr w:type="spellStart"/>
      <w:r w:rsidR="00E46DF7" w:rsidRPr="00E94D47">
        <w:rPr>
          <w:rFonts w:ascii="Times New Roman" w:eastAsia="Times New Roman" w:hAnsi="Times New Roman" w:cs="Times New Roman"/>
          <w:bCs/>
          <w:lang w:val="en-ID"/>
        </w:rPr>
        <w:t>sadaqah</w:t>
      </w:r>
      <w:proofErr w:type="spellEnd"/>
      <w:r w:rsidR="00E46DF7" w:rsidRPr="00E94D47">
        <w:rPr>
          <w:rFonts w:ascii="Times New Roman" w:eastAsia="Times New Roman" w:hAnsi="Times New Roman" w:cs="Times New Roman"/>
          <w:bCs/>
          <w:lang w:val="en-ID"/>
        </w:rPr>
        <w:t xml:space="preserve"> with good intention</w:t>
      </w:r>
      <w:r w:rsidR="005E6FB2" w:rsidRPr="00E94D47">
        <w:rPr>
          <w:rFonts w:ascii="Times New Roman" w:eastAsia="Times New Roman" w:hAnsi="Times New Roman" w:cs="Times New Roman"/>
          <w:bCs/>
          <w:lang w:val="en-ID"/>
        </w:rPr>
        <w:t>s</w:t>
      </w:r>
      <w:r w:rsidR="00E46DF7" w:rsidRPr="00E94D47">
        <w:rPr>
          <w:rFonts w:ascii="Times New Roman" w:eastAsia="Times New Roman" w:hAnsi="Times New Roman" w:cs="Times New Roman"/>
          <w:bCs/>
          <w:lang w:val="en-ID"/>
        </w:rPr>
        <w:t xml:space="preserve">. We can't be police investigating every donor's </w:t>
      </w:r>
      <w:proofErr w:type="gramStart"/>
      <w:r w:rsidR="00E46DF7" w:rsidRPr="00E94D47">
        <w:rPr>
          <w:rFonts w:ascii="Times New Roman" w:eastAsia="Times New Roman" w:hAnsi="Times New Roman" w:cs="Times New Roman"/>
          <w:bCs/>
          <w:lang w:val="en-ID"/>
        </w:rPr>
        <w:t>finances</w:t>
      </w:r>
      <w:proofErr w:type="gramEnd"/>
      <w:r w:rsidR="005E6FB2" w:rsidRPr="00E94D47">
        <w:rPr>
          <w:rFonts w:ascii="Times New Roman" w:eastAsia="Times New Roman" w:hAnsi="Times New Roman" w:cs="Times New Roman"/>
          <w:bCs/>
          <w:lang w:val="en-ID"/>
        </w:rPr>
        <w:t>,</w:t>
      </w:r>
      <w:r w:rsidR="00E46DF7" w:rsidRPr="00E94D47">
        <w:rPr>
          <w:rFonts w:ascii="Times New Roman" w:eastAsia="Times New Roman" w:hAnsi="Times New Roman" w:cs="Times New Roman"/>
          <w:bCs/>
          <w:lang w:val="en-ID"/>
        </w:rPr>
        <w:t xml:space="preserve"> that's not our role." This perspective emphasizes classical principles of individual accountability and expresses concern that institutional oversight might overstep appropriate boundaries or create uncomfortable social dynamics.</w:t>
      </w:r>
    </w:p>
    <w:p w14:paraId="06DC3624" w14:textId="1FB39057" w:rsidR="00B36A50" w:rsidRPr="00E94D47" w:rsidRDefault="00E46DF7"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lastRenderedPageBreak/>
        <w:t>However, sixty percent (10/17)</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including both DSN-MUI advisors, four out of five scholars, and reform-oriented administrators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supported institutional governance responsibility.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 xml:space="preserve">majority argued that mosques, as religious institutions with moral authority, bear obligations beyond passive receipt, including educating congregants and establishing expectations about halal funding sources. One DSN-MUI advisor framed the institutional obligation in terms of capacity and harm prevention: "Yes, individual responsibility is fundamental. But institutions also have obligations, especially when they have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capacity to guide and prevent harm. Mosques aren't just passive recipients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they're moral authorities in their communities. If they know there's a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risk and do nothing, aren't they facilitating it indirectly? At minimum, they should educate and set clear expectations." This perspective suggests that institutional responsibility doesn't necessarily mean intrusive monitoring, but rather proactive guidance, transparent communication, and creating systems that facilitate compliance rather than simply hoping individual donors will self-regulate effectively.</w:t>
      </w:r>
    </w:p>
    <w:p w14:paraId="2E30F8BE" w14:textId="4915A4B9" w:rsidR="00790425" w:rsidRPr="00E94D47" w:rsidRDefault="00B36A50"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This philosophical split correlated with age, educational background, and mosque context. Younger stakeholders under 45 overwhelmingly </w:t>
      </w:r>
      <w:proofErr w:type="spellStart"/>
      <w:r w:rsidRPr="00E94D47">
        <w:rPr>
          <w:rFonts w:ascii="Times New Roman" w:eastAsia="Times New Roman" w:hAnsi="Times New Roman" w:cs="Times New Roman"/>
          <w:bCs/>
          <w:lang w:val="en-ID"/>
        </w:rPr>
        <w:t>favored</w:t>
      </w:r>
      <w:proofErr w:type="spellEnd"/>
      <w:r w:rsidRPr="00E94D47">
        <w:rPr>
          <w:rFonts w:ascii="Times New Roman" w:eastAsia="Times New Roman" w:hAnsi="Times New Roman" w:cs="Times New Roman"/>
          <w:bCs/>
          <w:lang w:val="en-ID"/>
        </w:rPr>
        <w:t xml:space="preserve"> institutional responsibility, while those over 55 tended toward individual accountability emphasis. Participants with formal Islamic finance training consistently supported institutional governance, while those without such training emphasized donor autonomy. Without clear normative guidance on institutional obligations, stakeholders default to their own philosophical inclinations, resulting in vastly different approaches across institutions.</w:t>
      </w:r>
    </w:p>
    <w:p w14:paraId="3B7D9948" w14:textId="77777777" w:rsidR="001F0B4A" w:rsidRPr="00E94D47" w:rsidRDefault="001F0B4A" w:rsidP="003261E6">
      <w:pPr>
        <w:spacing w:line="240" w:lineRule="auto"/>
        <w:ind w:firstLine="567"/>
        <w:rPr>
          <w:rFonts w:ascii="Times New Roman" w:eastAsia="Times New Roman" w:hAnsi="Times New Roman" w:cs="Times New Roman"/>
          <w:bCs/>
        </w:rPr>
      </w:pPr>
    </w:p>
    <w:p w14:paraId="35734A11" w14:textId="77777777" w:rsidR="00B36A50" w:rsidRPr="00E94D47" w:rsidRDefault="00B36A50" w:rsidP="00E94D47">
      <w:pPr>
        <w:spacing w:line="240" w:lineRule="auto"/>
        <w:rPr>
          <w:rFonts w:ascii="Times New Roman" w:eastAsia="Times New Roman" w:hAnsi="Times New Roman" w:cs="Times New Roman"/>
          <w:b/>
          <w:bCs/>
          <w:lang w:val="en-ID"/>
        </w:rPr>
      </w:pPr>
      <w:r w:rsidRPr="00E94D47">
        <w:rPr>
          <w:rFonts w:ascii="Times New Roman" w:eastAsia="Times New Roman" w:hAnsi="Times New Roman" w:cs="Times New Roman"/>
          <w:b/>
          <w:bCs/>
          <w:lang w:val="en-ID"/>
        </w:rPr>
        <w:t xml:space="preserve">Implementation Barriers Identified </w:t>
      </w:r>
    </w:p>
    <w:p w14:paraId="62C8CA7E" w14:textId="77777777" w:rsidR="00B36A50" w:rsidRPr="00E94D47" w:rsidRDefault="00B36A50"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Participants consistently identified practical barriers complicating governance implementation, even among those philosophically supportive of stronger oversight. Four primary categories emerged, each reflecting different dimensions of the implementation challenge.</w:t>
      </w:r>
    </w:p>
    <w:p w14:paraId="32A29ED6" w14:textId="288FF149" w:rsidR="00B36A50"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Operational complexity and resource constraints dominated the conversation, with 70% of participants (12/17) citing this concern. Most Indonesian mosques operate with volunteer staff who have limited time and expertise. One administrator from a medium-sized community mosque captured the practical reality candidly: "Let's be realistic. We're a small mosque run by volunteers. Our </w:t>
      </w:r>
      <w:proofErr w:type="spellStart"/>
      <w:r w:rsidRPr="00E94D47">
        <w:rPr>
          <w:rFonts w:ascii="Times New Roman" w:eastAsia="Times New Roman" w:hAnsi="Times New Roman" w:cs="Times New Roman"/>
          <w:bCs/>
          <w:lang w:val="en-ID"/>
        </w:rPr>
        <w:t>takmir</w:t>
      </w:r>
      <w:proofErr w:type="spellEnd"/>
      <w:r w:rsidRPr="00E94D47">
        <w:rPr>
          <w:rFonts w:ascii="Times New Roman" w:eastAsia="Times New Roman" w:hAnsi="Times New Roman" w:cs="Times New Roman"/>
          <w:bCs/>
          <w:lang w:val="en-ID"/>
        </w:rPr>
        <w:t xml:space="preserve"> board members all have full-time jobs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teachers, civil servants, </w:t>
      </w:r>
      <w:r w:rsidR="005E6FB2" w:rsidRPr="00E94D47">
        <w:rPr>
          <w:rFonts w:ascii="Times New Roman" w:eastAsia="Times New Roman" w:hAnsi="Times New Roman" w:cs="Times New Roman"/>
          <w:bCs/>
          <w:lang w:val="en-ID"/>
        </w:rPr>
        <w:t xml:space="preserve">and </w:t>
      </w:r>
      <w:r w:rsidRPr="00E94D47">
        <w:rPr>
          <w:rFonts w:ascii="Times New Roman" w:eastAsia="Times New Roman" w:hAnsi="Times New Roman" w:cs="Times New Roman"/>
          <w:bCs/>
          <w:lang w:val="en-ID"/>
        </w:rPr>
        <w:t xml:space="preserve">small business owners. We meet maybe once a month, usually just to handle basic stuff like repairs or scheduling. If you want us to verify payment instruments, track donor histories, </w:t>
      </w:r>
      <w:r w:rsidR="005E6FB2" w:rsidRPr="00E94D47">
        <w:rPr>
          <w:rFonts w:ascii="Times New Roman" w:eastAsia="Times New Roman" w:hAnsi="Times New Roman" w:cs="Times New Roman"/>
          <w:bCs/>
          <w:lang w:val="en-ID"/>
        </w:rPr>
        <w:t xml:space="preserve">and </w:t>
      </w:r>
      <w:r w:rsidRPr="00E94D47">
        <w:rPr>
          <w:rFonts w:ascii="Times New Roman" w:eastAsia="Times New Roman" w:hAnsi="Times New Roman" w:cs="Times New Roman"/>
          <w:bCs/>
          <w:lang w:val="en-ID"/>
        </w:rPr>
        <w:t>audit transactions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where do we get the time? Where do we get the expertise? It sounds good in theory</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but impossible in practice for mosques like ours." This statement reflects the operational reality facing most Indonesian mosques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volunteer committees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juggling religious responsibilities alongside demanding professional careers, struggling with basic administrative matters before even considering complex compliance monitoring. Resource limitations extend beyond personnel; smaller mosques lack funds for hiring compliance officers or investing in premium QRIS analytics that might provide payment instrument data.</w:t>
      </w:r>
    </w:p>
    <w:p w14:paraId="58096E88" w14:textId="0D5C187E" w:rsidR="00B36A50"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Privacy and cultural sensitivity concerns emerged from 65% of participants (11/17). Indonesian cultural norms place </w:t>
      </w:r>
      <w:r w:rsidR="005E6FB2" w:rsidRPr="00E94D47">
        <w:rPr>
          <w:rFonts w:ascii="Times New Roman" w:eastAsia="Times New Roman" w:hAnsi="Times New Roman" w:cs="Times New Roman"/>
          <w:bCs/>
          <w:lang w:val="en-ID"/>
        </w:rPr>
        <w:t xml:space="preserve">a </w:t>
      </w:r>
      <w:r w:rsidRPr="00E94D47">
        <w:rPr>
          <w:rFonts w:ascii="Times New Roman" w:eastAsia="Times New Roman" w:hAnsi="Times New Roman" w:cs="Times New Roman"/>
          <w:bCs/>
          <w:lang w:val="en-ID"/>
        </w:rPr>
        <w:t xml:space="preserve">high value on financial discretion and avoiding embarrassment. One administrator from a traditional mosque in Tangerang articulated the cultural dilemma: "Indonesian culture values privacy in financial matters, especially among older generations. If we start asking donors 'Pak, are you using a credit card? Do you pay interest on it?' people will be offended. They'll feel like we're accusing them of something. They might stop donating altogether, or worse, stop coming to our mosque. We have to maintain </w:t>
      </w:r>
      <w:proofErr w:type="spellStart"/>
      <w:r w:rsidRPr="00E94D47">
        <w:rPr>
          <w:rFonts w:ascii="Times New Roman" w:eastAsia="Times New Roman" w:hAnsi="Times New Roman" w:cs="Times New Roman"/>
          <w:bCs/>
          <w:lang w:val="en-ID"/>
        </w:rPr>
        <w:t>ukhuwah</w:t>
      </w:r>
      <w:proofErr w:type="spellEnd"/>
      <w:r w:rsidRPr="00E94D47">
        <w:rPr>
          <w:rFonts w:ascii="Times New Roman" w:eastAsia="Times New Roman" w:hAnsi="Times New Roman" w:cs="Times New Roman"/>
          <w:bCs/>
          <w:lang w:val="en-ID"/>
        </w:rPr>
        <w:t xml:space="preserve">. Is it really worth risking community harmony over this issue?" This concern reflects deeper cultural values about boundaries between institutional authority and personal financial matters, where Indonesian Muslims, particularly older generations, consider financial arrangements private and would view institutional inquiry as intrusive. The prospect of asking donors about payment instruments or </w:t>
      </w:r>
      <w:r w:rsidRPr="00E94D47">
        <w:rPr>
          <w:rFonts w:ascii="Times New Roman" w:eastAsia="Times New Roman" w:hAnsi="Times New Roman" w:cs="Times New Roman"/>
          <w:bCs/>
          <w:lang w:val="en-ID"/>
        </w:rPr>
        <w:lastRenderedPageBreak/>
        <w:t>interest charges struck many as socially inappropriate and potentially offensive, creating genuine tension between sharia compliance objectives and cultural norms emphasizing relational harmony and discretion.</w:t>
      </w:r>
    </w:p>
    <w:p w14:paraId="52FF7262" w14:textId="77777777" w:rsidR="00E46DF7" w:rsidRPr="00E94D47" w:rsidRDefault="00E46DF7" w:rsidP="00E94D47">
      <w:pPr>
        <w:spacing w:line="240" w:lineRule="auto"/>
        <w:ind w:firstLine="567"/>
        <w:jc w:val="both"/>
        <w:rPr>
          <w:rFonts w:ascii="Times New Roman" w:eastAsia="Times New Roman" w:hAnsi="Times New Roman" w:cs="Times New Roman"/>
          <w:bCs/>
          <w:lang w:val="en-ID"/>
        </w:rPr>
      </w:pPr>
    </w:p>
    <w:p w14:paraId="6215EE3E" w14:textId="69035DB8" w:rsidR="00E46DF7"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Technical infrastructure limitations posed challenges for 60% of participants (10/17). Standard QRIS merchant systems don't provide data distinguishing credit from debit cards, let alone whether cards carry interest-bearing balances. One administrator from a corporate mosque in South Jakarta explained their experience seeking more detailed transaction information: "We use QRIS provided by Bank </w:t>
      </w:r>
      <w:proofErr w:type="spellStart"/>
      <w:r w:rsidRPr="00E94D47">
        <w:rPr>
          <w:rFonts w:ascii="Times New Roman" w:eastAsia="Times New Roman" w:hAnsi="Times New Roman" w:cs="Times New Roman"/>
          <w:bCs/>
          <w:lang w:val="en-ID"/>
        </w:rPr>
        <w:t>Mandiri</w:t>
      </w:r>
      <w:proofErr w:type="spellEnd"/>
      <w:r w:rsidRPr="00E94D47">
        <w:rPr>
          <w:rFonts w:ascii="Times New Roman" w:eastAsia="Times New Roman" w:hAnsi="Times New Roman" w:cs="Times New Roman"/>
          <w:bCs/>
          <w:lang w:val="en-ID"/>
        </w:rPr>
        <w:t xml:space="preserve">. The settlement report we get each month just shows transaction IDs, amounts, and dates. It doesn't distinguish whether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 xml:space="preserve">payment came from </w:t>
      </w:r>
      <w:r w:rsidR="005E6FB2" w:rsidRPr="00E94D47">
        <w:rPr>
          <w:rFonts w:ascii="Times New Roman" w:eastAsia="Times New Roman" w:hAnsi="Times New Roman" w:cs="Times New Roman"/>
          <w:bCs/>
          <w:lang w:val="en-ID"/>
        </w:rPr>
        <w:t xml:space="preserve">a </w:t>
      </w:r>
      <w:r w:rsidRPr="00E94D47">
        <w:rPr>
          <w:rFonts w:ascii="Times New Roman" w:eastAsia="Times New Roman" w:hAnsi="Times New Roman" w:cs="Times New Roman"/>
          <w:bCs/>
          <w:lang w:val="en-ID"/>
        </w:rPr>
        <w:t xml:space="preserve">credit card, debit card, or e-wallet. When I asked our bank representative if we could get more detailed data, they said we'd need to upgrade to a premium merchant analytics package with monthly fees </w:t>
      </w:r>
      <w:r w:rsidR="005E6FB2" w:rsidRPr="00E94D47">
        <w:rPr>
          <w:rFonts w:ascii="Times New Roman" w:eastAsia="Times New Roman" w:hAnsi="Times New Roman" w:cs="Times New Roman"/>
          <w:bCs/>
          <w:lang w:val="en-ID"/>
        </w:rPr>
        <w:t xml:space="preserve">of </w:t>
      </w:r>
      <w:r w:rsidRPr="00E94D47">
        <w:rPr>
          <w:rFonts w:ascii="Times New Roman" w:eastAsia="Times New Roman" w:hAnsi="Times New Roman" w:cs="Times New Roman"/>
          <w:bCs/>
          <w:lang w:val="en-ID"/>
        </w:rPr>
        <w:t xml:space="preserve">around 500,000-750,000 rupiah. Our mosque budget can't accommodate that we barely cover operational costs as it is." </w:t>
      </w:r>
    </w:p>
    <w:p w14:paraId="0F149234" w14:textId="581E484D" w:rsidR="00B36A50"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One Islamic finance scholar with </w:t>
      </w:r>
      <w:r w:rsidR="005E6FB2" w:rsidRPr="00E94D47">
        <w:rPr>
          <w:rFonts w:ascii="Times New Roman" w:eastAsia="Times New Roman" w:hAnsi="Times New Roman" w:cs="Times New Roman"/>
          <w:bCs/>
          <w:lang w:val="en-ID"/>
        </w:rPr>
        <w:t xml:space="preserve">a </w:t>
      </w:r>
      <w:r w:rsidRPr="00E94D47">
        <w:rPr>
          <w:rFonts w:ascii="Times New Roman" w:eastAsia="Times New Roman" w:hAnsi="Times New Roman" w:cs="Times New Roman"/>
          <w:bCs/>
          <w:lang w:val="en-ID"/>
        </w:rPr>
        <w:t xml:space="preserve">technology background identified this as a fundamental design issue rather than merely a feature limitation: "The fundamental problem is </w:t>
      </w:r>
      <w:r w:rsidR="005E6FB2" w:rsidRPr="00E94D47">
        <w:rPr>
          <w:rFonts w:ascii="Times New Roman" w:eastAsia="Times New Roman" w:hAnsi="Times New Roman" w:cs="Times New Roman"/>
          <w:bCs/>
          <w:lang w:val="en-ID"/>
        </w:rPr>
        <w:t xml:space="preserve">that </w:t>
      </w:r>
      <w:r w:rsidRPr="00E94D47">
        <w:rPr>
          <w:rFonts w:ascii="Times New Roman" w:eastAsia="Times New Roman" w:hAnsi="Times New Roman" w:cs="Times New Roman"/>
          <w:bCs/>
          <w:lang w:val="en-ID"/>
        </w:rPr>
        <w:t>QRIS infrastructure wasn't designed with sharia compliance in mind. Bank Indonesia prioritized interoperability, speed, and merchant adoption</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all good objectives from a payment system perspective. But religious compliance? That wasn't part of the design requirements. If we want sharia-compliant digital donations, we need Islamic fintech solutions that embed compliance verification at the technical architecture level, not try to retrofit it afterward." This assessment suggests that achieving meaningful compliance may require not just institutional governance adjustments but fundamental redesign of payment infrastructure to incorporate religious requirements from inception rather than treating them as external constraints to accommodate after system development.</w:t>
      </w:r>
    </w:p>
    <w:p w14:paraId="12319961" w14:textId="64A8D88D" w:rsidR="00E46DF7"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Generational and digital literacy gaps created complications noted by 55% of participants (9/17), operating in both directions. Younger donors expect seamless, frictionless digital experiences and resist additional verification steps they perceive as outdated religious gatekeeping. One university mosque administrator explained the challenge: "Our </w:t>
      </w:r>
      <w:proofErr w:type="spellStart"/>
      <w:r w:rsidRPr="00E94D47">
        <w:rPr>
          <w:rFonts w:ascii="Times New Roman" w:eastAsia="Times New Roman" w:hAnsi="Times New Roman" w:cs="Times New Roman"/>
          <w:bCs/>
          <w:lang w:val="en-ID"/>
        </w:rPr>
        <w:t>jama'ah</w:t>
      </w:r>
      <w:proofErr w:type="spellEnd"/>
      <w:r w:rsidRPr="00E94D47">
        <w:rPr>
          <w:rFonts w:ascii="Times New Roman" w:eastAsia="Times New Roman" w:hAnsi="Times New Roman" w:cs="Times New Roman"/>
          <w:bCs/>
          <w:lang w:val="en-ID"/>
        </w:rPr>
        <w:t xml:space="preserve"> is mostly students and young professionals</w:t>
      </w:r>
      <w:r w:rsidR="00C603FE">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millennials and Gen Z. They love QRIS precisely because it's fast and seamless. No awkward moments fumbling for cash, no need to interact with anyone. If we suddenly add extra steps like 'please confirm your payment source is halal' or 'attest that you don't pay credit card interest,' they'll perceive it as inconvenient and intrusive. We risk losing their engagement entirely." This concern reflects genuine tension between maintaining religious compliance and accommodating younger generations' expectations for frictionless digital experiences.</w:t>
      </w:r>
    </w:p>
    <w:p w14:paraId="74AC67BA" w14:textId="071E064C" w:rsidR="00B36A50" w:rsidRPr="00E94D47" w:rsidRDefault="00E46DF7"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Conversely, older administrators often lack technical understanding of how digital payment systems work. One elderly volunteer administrator candidly acknowledged the knowledge gap facing many traditional mosque management committees: "To be honest, our </w:t>
      </w:r>
      <w:proofErr w:type="spellStart"/>
      <w:r w:rsidRPr="00E94D47">
        <w:rPr>
          <w:rFonts w:ascii="Times New Roman" w:eastAsia="Times New Roman" w:hAnsi="Times New Roman" w:cs="Times New Roman"/>
          <w:bCs/>
          <w:lang w:val="en-ID"/>
        </w:rPr>
        <w:t>takmir</w:t>
      </w:r>
      <w:proofErr w:type="spellEnd"/>
      <w:r w:rsidRPr="00E94D47">
        <w:rPr>
          <w:rFonts w:ascii="Times New Roman" w:eastAsia="Times New Roman" w:hAnsi="Times New Roman" w:cs="Times New Roman"/>
          <w:bCs/>
          <w:lang w:val="en-ID"/>
        </w:rPr>
        <w:t xml:space="preserve"> board—most of us are over 60 years old. We barely understand how QRIS technology works. Someone told us it's like a barcode that brings money into our account when people scan it. Beyond that? It's a mystery. The younger generation handles the technical side. But asking us to understand </w:t>
      </w:r>
      <w:proofErr w:type="spellStart"/>
      <w:r w:rsidRPr="00E94D47">
        <w:rPr>
          <w:rFonts w:ascii="Times New Roman" w:eastAsia="Times New Roman" w:hAnsi="Times New Roman" w:cs="Times New Roman"/>
          <w:bCs/>
          <w:lang w:val="en-ID"/>
        </w:rPr>
        <w:t>fiqh</w:t>
      </w:r>
      <w:proofErr w:type="spellEnd"/>
      <w:r w:rsidRPr="00E94D47">
        <w:rPr>
          <w:rFonts w:ascii="Times New Roman" w:eastAsia="Times New Roman" w:hAnsi="Times New Roman" w:cs="Times New Roman"/>
          <w:bCs/>
          <w:lang w:val="en-ID"/>
        </w:rPr>
        <w:t xml:space="preserve"> issues related to credit cards, payment layers,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implications in digital systems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that's completely beyond our capacity without serious training and support." This admission reflects the reality that many mosques are managed by individuals who possess strong religious commitment and community service dedication but lack the technical and financial literacy required to navigate complex digital payment governance issues without substantial external support.</w:t>
      </w:r>
    </w:p>
    <w:p w14:paraId="557DAAE0" w14:textId="75204BFF" w:rsidR="001F0B4A" w:rsidRPr="00E94D47" w:rsidRDefault="00B36A50"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What became clear is </w:t>
      </w:r>
      <w:r w:rsidR="005E6FB2" w:rsidRPr="00E94D47">
        <w:rPr>
          <w:rFonts w:ascii="Times New Roman" w:eastAsia="Times New Roman" w:hAnsi="Times New Roman" w:cs="Times New Roman"/>
          <w:bCs/>
          <w:lang w:val="en-ID"/>
        </w:rPr>
        <w:t xml:space="preserve">that </w:t>
      </w:r>
      <w:r w:rsidRPr="00E94D47">
        <w:rPr>
          <w:rFonts w:ascii="Times New Roman" w:eastAsia="Times New Roman" w:hAnsi="Times New Roman" w:cs="Times New Roman"/>
          <w:bCs/>
          <w:lang w:val="en-ID"/>
        </w:rPr>
        <w:t xml:space="preserve">these barriers aren't isolated but interconnected constraints. Resource limitations compound technical restrictions; cultural sensitivities constrain operational approaches; generational gaps affect both donor receptivity and administrator capacity. </w:t>
      </w:r>
      <w:r w:rsidRPr="00E94D47">
        <w:rPr>
          <w:rFonts w:ascii="Times New Roman" w:eastAsia="Times New Roman" w:hAnsi="Times New Roman" w:cs="Times New Roman"/>
          <w:bCs/>
          <w:lang w:val="en-ID"/>
        </w:rPr>
        <w:lastRenderedPageBreak/>
        <w:t>Importantly, participants discussed these as genuine structural challenges rather than excuses. Most stakeholders expressed willingness to enhance governance if feasible solutions addressing these practical constraints could be identified</w:t>
      </w:r>
      <w:r w:rsidR="005E6FB2" w:rsidRPr="00E94D47">
        <w:rPr>
          <w:rFonts w:ascii="Times New Roman" w:eastAsia="Times New Roman" w:hAnsi="Times New Roman" w:cs="Times New Roman"/>
          <w:bCs/>
          <w:lang w:val="en-ID"/>
        </w:rPr>
        <w:t>. T</w:t>
      </w:r>
      <w:r w:rsidRPr="00E94D47">
        <w:rPr>
          <w:rFonts w:ascii="Times New Roman" w:eastAsia="Times New Roman" w:hAnsi="Times New Roman" w:cs="Times New Roman"/>
          <w:bCs/>
          <w:lang w:val="en-ID"/>
        </w:rPr>
        <w:t xml:space="preserve">he question wasn't whether compliance matters, but how to achieve it within </w:t>
      </w:r>
      <w:r w:rsidR="005E6FB2" w:rsidRPr="00E94D47">
        <w:rPr>
          <w:rFonts w:ascii="Times New Roman" w:eastAsia="Times New Roman" w:hAnsi="Times New Roman" w:cs="Times New Roman"/>
          <w:bCs/>
          <w:lang w:val="en-ID"/>
        </w:rPr>
        <w:t>real-</w:t>
      </w:r>
      <w:r w:rsidRPr="00E94D47">
        <w:rPr>
          <w:rFonts w:ascii="Times New Roman" w:eastAsia="Times New Roman" w:hAnsi="Times New Roman" w:cs="Times New Roman"/>
          <w:bCs/>
          <w:lang w:val="en-ID"/>
        </w:rPr>
        <w:t>world operational realities.</w:t>
      </w:r>
    </w:p>
    <w:p w14:paraId="6EF004B1" w14:textId="08F0DC89" w:rsidR="00B36A50" w:rsidRPr="00E94D47" w:rsidRDefault="00B36A50" w:rsidP="00E94D47">
      <w:pPr>
        <w:spacing w:line="240" w:lineRule="auto"/>
        <w:rPr>
          <w:rFonts w:ascii="Times New Roman" w:eastAsia="Times New Roman" w:hAnsi="Times New Roman" w:cs="Times New Roman"/>
          <w:bCs/>
        </w:rPr>
      </w:pPr>
      <w:r w:rsidRPr="00E94D47">
        <w:rPr>
          <w:rFonts w:ascii="Times New Roman" w:eastAsia="Times New Roman" w:hAnsi="Times New Roman" w:cs="Times New Roman"/>
          <w:bCs/>
          <w:lang w:val="en-ID"/>
        </w:rPr>
        <w:tab/>
      </w:r>
    </w:p>
    <w:p w14:paraId="469D52F8" w14:textId="4E0CB5B0" w:rsidR="00371BE2" w:rsidRPr="00E94D47" w:rsidRDefault="00371BE2"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Discussion</w:t>
      </w:r>
    </w:p>
    <w:p w14:paraId="7DE91F12" w14:textId="766F3818" w:rsidR="00371BE2" w:rsidRPr="00E94D47" w:rsidRDefault="00B36A50"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Contractual Structure and Aggregate Sharia Validity</w:t>
      </w:r>
    </w:p>
    <w:p w14:paraId="01764718" w14:textId="319226EE" w:rsidR="002F07AF" w:rsidRPr="00E94D47" w:rsidRDefault="002F07AF"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The six-layered contractual structure highlights an inherent tension within the transaction framework. Although individual components may appear permissible when assessed independently, the overall structure becomes problematic once credit facilities involving interest-bearing obligations are incorporated. This indicates that Sharia evaluation must be conducted holistically rather than through isolated contract analysis, as the validity of a </w:t>
      </w:r>
      <w:proofErr w:type="spellStart"/>
      <w:r w:rsidRPr="00E94D47">
        <w:rPr>
          <w:rFonts w:ascii="Times New Roman" w:eastAsia="Times New Roman" w:hAnsi="Times New Roman" w:cs="Times New Roman"/>
        </w:rPr>
        <w:t>hibah</w:t>
      </w:r>
      <w:proofErr w:type="spellEnd"/>
      <w:r w:rsidRPr="00E94D47">
        <w:rPr>
          <w:rFonts w:ascii="Times New Roman" w:eastAsia="Times New Roman" w:hAnsi="Times New Roman" w:cs="Times New Roman"/>
        </w:rPr>
        <w:t xml:space="preserve"> arrangement alone does not ensure overall compliance when intermediary layers contain elements that contradict Sharia principles.</w:t>
      </w:r>
    </w:p>
    <w:p w14:paraId="51112678" w14:textId="553B7C41" w:rsidR="001F0B4A" w:rsidRPr="00E94D47" w:rsidRDefault="00B36A50"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DSN-MUI Fatwa No. 92/2014 establishes dual requirements: intention and actual practice of full repayment. The 35-40% donor exposure rate indicates systematic violation, corroborating international juristic consensus that credit card charity is permissible only when interest is completely avoided</w:t>
      </w:r>
      <w:r w:rsidR="00B123EF" w:rsidRPr="00E94D47">
        <w:rPr>
          <w:rFonts w:ascii="Times New Roman" w:eastAsia="Times New Roman" w:hAnsi="Times New Roman" w:cs="Times New Roman"/>
        </w:rPr>
        <w:t>.</w:t>
      </w:r>
      <w:r w:rsidR="005E6FB2" w:rsidRPr="00E94D47">
        <w:rPr>
          <w:rFonts w:ascii="Times New Roman" w:eastAsia="Times New Roman" w:hAnsi="Times New Roman" w:cs="Times New Roman"/>
        </w:rPr>
        <w:t xml:space="preserve"> </w:t>
      </w:r>
      <w:r w:rsidRPr="00E94D47">
        <w:rPr>
          <w:rFonts w:ascii="Times New Roman" w:eastAsia="Times New Roman" w:hAnsi="Times New Roman" w:cs="Times New Roman"/>
        </w:rPr>
        <w:t>When stakeholders cannot identify contractual relationships they're facilitating, Islamic ethical requirements of informed consent are fundamentally compromised.</w:t>
      </w:r>
    </w:p>
    <w:p w14:paraId="335BA47C" w14:textId="77777777" w:rsidR="00B36A50" w:rsidRPr="00E94D47" w:rsidRDefault="00B36A50" w:rsidP="003261E6">
      <w:pPr>
        <w:spacing w:line="240" w:lineRule="auto"/>
        <w:ind w:firstLine="567"/>
        <w:rPr>
          <w:rFonts w:ascii="Times New Roman" w:eastAsia="Times New Roman" w:hAnsi="Times New Roman" w:cs="Times New Roman"/>
        </w:rPr>
      </w:pPr>
    </w:p>
    <w:p w14:paraId="186838B6" w14:textId="224CCB38" w:rsidR="00B36A50" w:rsidRPr="00E94D47" w:rsidRDefault="00B36A50" w:rsidP="00E94D47">
      <w:pPr>
        <w:spacing w:line="240" w:lineRule="auto"/>
        <w:rPr>
          <w:rFonts w:ascii="Times New Roman" w:eastAsia="Times New Roman" w:hAnsi="Times New Roman" w:cs="Times New Roman"/>
          <w:b/>
          <w:bCs/>
        </w:rPr>
      </w:pPr>
      <w:r w:rsidRPr="00E94D47">
        <w:rPr>
          <w:rFonts w:ascii="Times New Roman" w:eastAsia="Times New Roman" w:hAnsi="Times New Roman" w:cs="Times New Roman"/>
          <w:b/>
          <w:bCs/>
        </w:rPr>
        <w:t>Magnitude and Contributing Factors of Riba Risk</w:t>
      </w:r>
    </w:p>
    <w:p w14:paraId="78CF94B1" w14:textId="661AAB65" w:rsidR="00A0138A" w:rsidRPr="00E94D47" w:rsidRDefault="00A0138A"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The estimated </w:t>
      </w:r>
      <w:r w:rsidR="005E6FB2" w:rsidRPr="00E94D47">
        <w:rPr>
          <w:rFonts w:ascii="Times New Roman" w:eastAsia="Times New Roman" w:hAnsi="Times New Roman" w:cs="Times New Roman"/>
          <w:lang w:val="en-ID"/>
        </w:rPr>
        <w:t xml:space="preserve">RIBA </w:t>
      </w:r>
      <w:r w:rsidRPr="00E94D47">
        <w:rPr>
          <w:rFonts w:ascii="Times New Roman" w:eastAsia="Times New Roman" w:hAnsi="Times New Roman" w:cs="Times New Roman"/>
          <w:lang w:val="en-ID"/>
        </w:rPr>
        <w:t>exposure rate of 35–40% significantly exceeds the average range commonly observed in conventional Islamic banking institutions, which typically falls between 15–20%. This disparity indicates more acute compliance challenges within charitable and religious financial environments. Such conditions suggest the presence of structural vulnerabilities that are not adequately supported by formal governance and control mechanisms typically embedded in regulated financial institutions.</w:t>
      </w:r>
    </w:p>
    <w:p w14:paraId="4E884B1A" w14:textId="77777777" w:rsidR="00A0138A" w:rsidRPr="00E94D47" w:rsidRDefault="00A0138A"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First, unlike Islamic banks that operate with structured internal controls, compliance supervision, and Sharia monitoring frameworks, mosques function primarily as passive recipients of funds without systematic verification procedures regarding the sources of donations. This situation reflects a gap between established jurisprudential norms and their operational implementation. Although normative guidance concerning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is well articulated within Islamic legal discourse, its translation into practical governance mechanisms at the institutional level remains limited.</w:t>
      </w:r>
    </w:p>
    <w:p w14:paraId="5DB60793" w14:textId="77777777" w:rsidR="00A0138A" w:rsidRPr="00E94D47" w:rsidRDefault="00A0138A"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 xml:space="preserve">Second, donors may engage in a form of ethical compartmentalization in which charitable contributions are perceived as inherently virtuous acts, independent of the financial processes that generate the funds. Within this perspective, the moral and spiritual value of giving tends to overshadow scrutiny of the underlying financial mechanisms. As a result, the religious framing of philanthropy may reduce awareness and critical evaluation of potential </w:t>
      </w:r>
      <w:proofErr w:type="spellStart"/>
      <w:r w:rsidRPr="00E94D47">
        <w:rPr>
          <w:rFonts w:ascii="Times New Roman" w:eastAsia="Times New Roman" w:hAnsi="Times New Roman" w:cs="Times New Roman"/>
          <w:lang w:val="en-ID"/>
        </w:rPr>
        <w:t>riba</w:t>
      </w:r>
      <w:proofErr w:type="spellEnd"/>
      <w:r w:rsidRPr="00E94D47">
        <w:rPr>
          <w:rFonts w:ascii="Times New Roman" w:eastAsia="Times New Roman" w:hAnsi="Times New Roman" w:cs="Times New Roman"/>
          <w:lang w:val="en-ID"/>
        </w:rPr>
        <w:t xml:space="preserve"> elements embedded in modern financial transactions.</w:t>
      </w:r>
    </w:p>
    <w:p w14:paraId="2B4D7828" w14:textId="77777777" w:rsidR="00A0138A" w:rsidRPr="00E94D47" w:rsidRDefault="00A0138A" w:rsidP="00E94D47">
      <w:pPr>
        <w:spacing w:line="240" w:lineRule="auto"/>
        <w:ind w:firstLine="567"/>
        <w:jc w:val="both"/>
        <w:rPr>
          <w:rFonts w:ascii="Times New Roman" w:eastAsia="Times New Roman" w:hAnsi="Times New Roman" w:cs="Times New Roman"/>
          <w:lang w:val="en-ID"/>
        </w:rPr>
      </w:pPr>
      <w:r w:rsidRPr="00E94D47">
        <w:rPr>
          <w:rFonts w:ascii="Times New Roman" w:eastAsia="Times New Roman" w:hAnsi="Times New Roman" w:cs="Times New Roman"/>
          <w:lang w:val="en-ID"/>
        </w:rPr>
        <w:t>Third, the increasing reliance on digital financial interfaces introduces additional complexity. Digital payment systems are generally designed to prioritize efficiency, accessibility, and user convenience. However, this simplification often obscures the contractual structures and financial mechanisms operating behind the interface. Such opacity creates cognitive distance between the user’s action and its potential Sharia implications. Consequently, compliance gaps may emerge unintentionally, as users are not fully exposed to the structural characteristics of the transactions they engage in.</w:t>
      </w:r>
    </w:p>
    <w:p w14:paraId="65E3983E" w14:textId="282E1D1B" w:rsidR="00B36A50" w:rsidRPr="00E94D47" w:rsidRDefault="00B36A50" w:rsidP="00E94D47">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These findings challenge the DSN-MUI assumption that individual cardholder responsibility suffices. Empirical reality suggests institutional interventions are necessary </w:t>
      </w:r>
      <w:r w:rsidR="005E6FB2" w:rsidRPr="00E94D47">
        <w:rPr>
          <w:rFonts w:ascii="Times New Roman" w:eastAsia="Times New Roman" w:hAnsi="Times New Roman" w:cs="Times New Roman"/>
        </w:rPr>
        <w:t xml:space="preserve">to support </w:t>
      </w:r>
      <w:r w:rsidRPr="00E94D47">
        <w:rPr>
          <w:rFonts w:ascii="Times New Roman" w:eastAsia="Times New Roman" w:hAnsi="Times New Roman" w:cs="Times New Roman"/>
        </w:rPr>
        <w:t>the institutional responsibility perspective articulated by 60% of participants.</w:t>
      </w:r>
    </w:p>
    <w:p w14:paraId="218D3AEB" w14:textId="09572632" w:rsidR="00B36A50" w:rsidRPr="00E94D47" w:rsidRDefault="00B36A50" w:rsidP="00E94D47">
      <w:pPr>
        <w:spacing w:line="240" w:lineRule="auto"/>
        <w:rPr>
          <w:rFonts w:ascii="Times New Roman" w:eastAsia="Times New Roman" w:hAnsi="Times New Roman" w:cs="Times New Roman"/>
          <w:b/>
          <w:bCs/>
        </w:rPr>
      </w:pPr>
      <w:r w:rsidRPr="00E94D47">
        <w:rPr>
          <w:rFonts w:ascii="Times New Roman" w:eastAsia="Times New Roman" w:hAnsi="Times New Roman" w:cs="Times New Roman"/>
          <w:b/>
          <w:bCs/>
        </w:rPr>
        <w:lastRenderedPageBreak/>
        <w:t xml:space="preserve">Barriers in </w:t>
      </w:r>
      <w:r w:rsidR="005E6FB2" w:rsidRPr="00E94D47">
        <w:rPr>
          <w:rFonts w:ascii="Times New Roman" w:eastAsia="Times New Roman" w:hAnsi="Times New Roman" w:cs="Times New Roman"/>
          <w:b/>
          <w:bCs/>
        </w:rPr>
        <w:t xml:space="preserve">the </w:t>
      </w:r>
      <w:r w:rsidRPr="00E94D47">
        <w:rPr>
          <w:rFonts w:ascii="Times New Roman" w:eastAsia="Times New Roman" w:hAnsi="Times New Roman" w:cs="Times New Roman"/>
          <w:b/>
          <w:bCs/>
        </w:rPr>
        <w:t>Context of Islamic Digital Philanthropy Literature</w:t>
      </w:r>
    </w:p>
    <w:p w14:paraId="2ACD5C6C" w14:textId="75291050" w:rsidR="00B36A50" w:rsidRPr="00E94D47" w:rsidRDefault="00B36A50"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The four identified barrier categories align with challenges documented in Islamic digital payment research. Operational complexity concerns (70% of participants) echo Rahman's (2024) observation that governance mechanisms are perceived as administratively burdensome, particularly for volunteer-dependent institutions lacking dedicated compliance</w:t>
      </w:r>
      <w:r w:rsidR="00CA2F71" w:rsidRPr="00E94D47">
        <w:rPr>
          <w:rFonts w:ascii="Times New Roman" w:eastAsia="Times New Roman" w:hAnsi="Times New Roman" w:cs="Times New Roman"/>
        </w:rPr>
        <w:t xml:space="preserve"> units</w:t>
      </w:r>
      <w:r w:rsidRPr="00E94D47">
        <w:rPr>
          <w:rFonts w:ascii="Times New Roman" w:eastAsia="Times New Roman" w:hAnsi="Times New Roman" w:cs="Times New Roman"/>
        </w:rPr>
        <w:t xml:space="preserve">. </w:t>
      </w:r>
    </w:p>
    <w:p w14:paraId="5A4E9338" w14:textId="6E74075E" w:rsidR="00B36A50" w:rsidRPr="00E94D47" w:rsidRDefault="004F3E78"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The finding that 65% of respondents expressed privacy concerns indicates an underlying tension between efforts to mitigate potential harm and prevailing social norms that prioritize financial discretion and modesty. This dynamic suggests that protective governance measures must be carefully balanced with culturally embedded values related to confidentiality in financial matters. </w:t>
      </w:r>
      <w:r w:rsidR="00B36A50" w:rsidRPr="00E94D47">
        <w:rPr>
          <w:rFonts w:ascii="Times New Roman" w:eastAsia="Times New Roman" w:hAnsi="Times New Roman" w:cs="Times New Roman"/>
        </w:rPr>
        <w:t xml:space="preserve">The </w:t>
      </w:r>
      <w:proofErr w:type="spellStart"/>
      <w:r w:rsidR="00B36A50" w:rsidRPr="00E94D47">
        <w:rPr>
          <w:rFonts w:ascii="Times New Roman" w:eastAsia="Times New Roman" w:hAnsi="Times New Roman" w:cs="Times New Roman"/>
        </w:rPr>
        <w:t>Ziswaf</w:t>
      </w:r>
      <w:proofErr w:type="spellEnd"/>
      <w:r w:rsidR="00B36A50" w:rsidRPr="00E94D47">
        <w:rPr>
          <w:rFonts w:ascii="Times New Roman" w:eastAsia="Times New Roman" w:hAnsi="Times New Roman" w:cs="Times New Roman"/>
        </w:rPr>
        <w:t xml:space="preserve"> Payment Motivation Study (2022) found that intrusive questioning discourages digital charitable participation, corroborating stakeholder fears documented in this study. </w:t>
      </w:r>
    </w:p>
    <w:p w14:paraId="0D9EDBBC" w14:textId="0C1F5F5E" w:rsidR="00B36A50" w:rsidRPr="00E94D47" w:rsidRDefault="00B36A50"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Technical infrastructure limitations (60%) are consistent with OJK's (2022) assessment that religious organizations adopt digital payments without adequate IT support. Current QRIS architecture prioritizes commercial efficiency over </w:t>
      </w:r>
      <w:r w:rsidR="005E6FB2" w:rsidRPr="00E94D47">
        <w:rPr>
          <w:rFonts w:ascii="Times New Roman" w:eastAsia="Times New Roman" w:hAnsi="Times New Roman" w:cs="Times New Roman"/>
        </w:rPr>
        <w:t xml:space="preserve">Sharia </w:t>
      </w:r>
      <w:r w:rsidRPr="00E94D47">
        <w:rPr>
          <w:rFonts w:ascii="Times New Roman" w:eastAsia="Times New Roman" w:hAnsi="Times New Roman" w:cs="Times New Roman"/>
        </w:rPr>
        <w:t xml:space="preserve">compliance verification, creating structural barriers to institutional governance. </w:t>
      </w:r>
    </w:p>
    <w:p w14:paraId="21F0E0CE" w14:textId="2A9A425C" w:rsidR="00B36A50" w:rsidRPr="00E94D47" w:rsidRDefault="00B36A50"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Cultural and generational factors reflect the Young Muslim Generation Digital Payment Study's (2024) finding that younger Muslims prefer frictionless digital experiences. However, Rahman, Abdullah, and Hussin (2024) showed that targeted financial literacy initiatives can mitigate these tensions by helping donors understand governance necessity from </w:t>
      </w:r>
      <w:r w:rsidR="005E6FB2" w:rsidRPr="00E94D47">
        <w:rPr>
          <w:rFonts w:ascii="Times New Roman" w:eastAsia="Times New Roman" w:hAnsi="Times New Roman" w:cs="Times New Roman"/>
        </w:rPr>
        <w:t xml:space="preserve">Sharia </w:t>
      </w:r>
      <w:r w:rsidRPr="00E94D47">
        <w:rPr>
          <w:rFonts w:ascii="Times New Roman" w:eastAsia="Times New Roman" w:hAnsi="Times New Roman" w:cs="Times New Roman"/>
        </w:rPr>
        <w:t xml:space="preserve">perspectives. </w:t>
      </w:r>
    </w:p>
    <w:p w14:paraId="63284D43" w14:textId="30ED0EDC" w:rsidR="00B36A50" w:rsidRPr="00E94D47" w:rsidRDefault="00B36A50"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Importantly, these barriers represent genuine structural and cultural constraints rather than ideological opposition. Most stakeholders expressed willingness to enhance governance if feasible solutions addressing practical constraints become available. This finding suggests that the compliance vacuum identified by </w:t>
      </w:r>
      <w:proofErr w:type="spellStart"/>
      <w:r w:rsidRPr="00E94D47">
        <w:rPr>
          <w:rFonts w:ascii="Times New Roman" w:eastAsia="Times New Roman" w:hAnsi="Times New Roman" w:cs="Times New Roman"/>
        </w:rPr>
        <w:t>Kahfi</w:t>
      </w:r>
      <w:proofErr w:type="spellEnd"/>
      <w:r w:rsidRPr="00E94D47">
        <w:rPr>
          <w:rFonts w:ascii="Times New Roman" w:eastAsia="Times New Roman" w:hAnsi="Times New Roman" w:cs="Times New Roman"/>
        </w:rPr>
        <w:t xml:space="preserve"> (2025) stems from implementation challenges rather than normative disagreement.</w:t>
      </w:r>
    </w:p>
    <w:p w14:paraId="489FD46B" w14:textId="77777777" w:rsidR="00B36A50" w:rsidRPr="00E94D47" w:rsidRDefault="00B36A50" w:rsidP="003261E6">
      <w:pPr>
        <w:spacing w:line="240" w:lineRule="auto"/>
        <w:ind w:firstLine="567"/>
        <w:rPr>
          <w:rFonts w:ascii="Times New Roman" w:eastAsia="Times New Roman" w:hAnsi="Times New Roman" w:cs="Times New Roman"/>
        </w:rPr>
      </w:pPr>
    </w:p>
    <w:p w14:paraId="7F0F9D6D" w14:textId="77777777" w:rsidR="00A80EEC" w:rsidRPr="00E94D47" w:rsidRDefault="00A80EEC" w:rsidP="00E94D47">
      <w:pPr>
        <w:spacing w:line="240" w:lineRule="auto"/>
        <w:rPr>
          <w:rFonts w:ascii="Times New Roman" w:eastAsia="Times New Roman" w:hAnsi="Times New Roman" w:cs="Times New Roman"/>
          <w:b/>
          <w:bCs/>
          <w:lang w:val="en-ID"/>
        </w:rPr>
      </w:pPr>
      <w:r w:rsidRPr="00E94D47">
        <w:rPr>
          <w:rFonts w:ascii="Times New Roman" w:eastAsia="Times New Roman" w:hAnsi="Times New Roman" w:cs="Times New Roman"/>
          <w:b/>
          <w:bCs/>
          <w:lang w:val="en-ID"/>
        </w:rPr>
        <w:t>Governance Frameworks and Practical Mechanisms</w:t>
      </w:r>
    </w:p>
    <w:p w14:paraId="11BB7FE4" w14:textId="77777777"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The third research question asked: What governance frameworks and practical mechanisms can mosques implement to ensure sharia compliance while leveraging digital payment technologies?</w:t>
      </w:r>
    </w:p>
    <w:p w14:paraId="08B6CE67" w14:textId="4D2BF8F4"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The four governance mechanisms identified institutional disclosure (85% support), tiered donation systems (70%), periodic sharia audits (75%), and donor education (90%)—represent practical solutions balancing Islamic ethical principles with real-world operational constraints. Each mechanism operationalizes established Islamic governance concepts while addressing the specific barriers documented in this study.</w:t>
      </w:r>
    </w:p>
    <w:p w14:paraId="1FC0E9FF" w14:textId="5D050DAF" w:rsidR="00A80EEC" w:rsidRPr="00E94D47" w:rsidRDefault="004F3E78"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Institutional disclosure can be understood as a form of soft governance, where behavioral influence is achieved primarily through transparency and the provision of information rather than through direct enforcement or formal regulatory sanctions. The principle of </w:t>
      </w:r>
      <w:r w:rsidRPr="00E94D47">
        <w:rPr>
          <w:rFonts w:ascii="Times New Roman" w:eastAsia="Times New Roman" w:hAnsi="Times New Roman" w:cs="Times New Roman"/>
          <w:i/>
          <w:iCs/>
        </w:rPr>
        <w:t>bayan</w:t>
      </w:r>
      <w:r w:rsidRPr="00E94D47">
        <w:rPr>
          <w:rFonts w:ascii="Times New Roman" w:eastAsia="Times New Roman" w:hAnsi="Times New Roman" w:cs="Times New Roman"/>
        </w:rPr>
        <w:t xml:space="preserve">, which emphasizes clarity, disclosure, and transparency, can be interpreted as fulfilling several objectives aligned with </w:t>
      </w:r>
      <w:proofErr w:type="spellStart"/>
      <w:r w:rsidRPr="00E94D47">
        <w:rPr>
          <w:rFonts w:ascii="Times New Roman" w:eastAsia="Times New Roman" w:hAnsi="Times New Roman" w:cs="Times New Roman"/>
        </w:rPr>
        <w:t>maqasid</w:t>
      </w:r>
      <w:proofErr w:type="spellEnd"/>
      <w:r w:rsidRPr="00E94D47">
        <w:rPr>
          <w:rFonts w:ascii="Times New Roman" w:eastAsia="Times New Roman" w:hAnsi="Times New Roman" w:cs="Times New Roman"/>
        </w:rPr>
        <w:t xml:space="preserve"> al-sharia. It contributes to minimizing elements of uncertainty or ambiguity in contractual arrangements, facilitates informed decision-making among stakeholders, and promotes responsible self-regulation within financial interactions. </w:t>
      </w:r>
      <w:r w:rsidR="00A80EEC" w:rsidRPr="00E94D47">
        <w:rPr>
          <w:rFonts w:ascii="Times New Roman" w:eastAsia="Times New Roman" w:hAnsi="Times New Roman" w:cs="Times New Roman"/>
        </w:rPr>
        <w:t xml:space="preserve">Practically, signage near QRIS codes stating "Please ensure donations come from halal sources, free from </w:t>
      </w:r>
      <w:proofErr w:type="spellStart"/>
      <w:r w:rsidR="00A80EEC" w:rsidRPr="00E94D47">
        <w:rPr>
          <w:rFonts w:ascii="Times New Roman" w:eastAsia="Times New Roman" w:hAnsi="Times New Roman" w:cs="Times New Roman"/>
        </w:rPr>
        <w:t>riba</w:t>
      </w:r>
      <w:proofErr w:type="spellEnd"/>
      <w:r w:rsidR="00A80EEC" w:rsidRPr="00E94D47">
        <w:rPr>
          <w:rFonts w:ascii="Times New Roman" w:eastAsia="Times New Roman" w:hAnsi="Times New Roman" w:cs="Times New Roman"/>
        </w:rPr>
        <w:t>" requires zero financial investment while potentially generating significant compliance improvements. Rahman's (2024) empirical research confirms that mosques with explicit governance communication achieved measurably higher donor awareness compared to institutions relying on implicit expectations.</w:t>
      </w:r>
    </w:p>
    <w:p w14:paraId="278F6765" w14:textId="24EC2683" w:rsidR="00B36A50"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Tiered donation systems </w:t>
      </w:r>
      <w:r w:rsidR="00CA2F71" w:rsidRPr="00E94D47">
        <w:rPr>
          <w:rFonts w:ascii="Times New Roman" w:eastAsia="Times New Roman" w:hAnsi="Times New Roman" w:cs="Times New Roman"/>
        </w:rPr>
        <w:t xml:space="preserve">can be understood as a practical application of the principle of </w:t>
      </w:r>
      <w:proofErr w:type="spellStart"/>
      <w:r w:rsidR="00CA2F71" w:rsidRPr="00E94D47">
        <w:rPr>
          <w:rFonts w:ascii="Times New Roman" w:eastAsia="Times New Roman" w:hAnsi="Times New Roman" w:cs="Times New Roman"/>
        </w:rPr>
        <w:t>tadarruj</w:t>
      </w:r>
      <w:proofErr w:type="spellEnd"/>
      <w:r w:rsidR="00CA2F71" w:rsidRPr="00E94D47">
        <w:rPr>
          <w:rFonts w:ascii="Times New Roman" w:eastAsia="Times New Roman" w:hAnsi="Times New Roman" w:cs="Times New Roman"/>
        </w:rPr>
        <w:t xml:space="preserve">, emphasizing gradual and progressive implementation. This approach acknowledges that </w:t>
      </w:r>
      <w:r w:rsidR="00CA2F71" w:rsidRPr="00E94D47">
        <w:rPr>
          <w:rFonts w:ascii="Times New Roman" w:eastAsia="Times New Roman" w:hAnsi="Times New Roman" w:cs="Times New Roman"/>
        </w:rPr>
        <w:lastRenderedPageBreak/>
        <w:t>communities differ in terms of religious commitment, financial awareness, and levels of literacy, thereby requiring adaptive and incremental strategies in structuring donation mechanisms</w:t>
      </w:r>
      <w:r w:rsidRPr="00E94D47">
        <w:rPr>
          <w:rFonts w:ascii="Times New Roman" w:eastAsia="Times New Roman" w:hAnsi="Times New Roman" w:cs="Times New Roman"/>
        </w:rPr>
        <w:t>. By offering both "verified halal sources" and general donation channels, mosques accommodate the philosophical split documented in this study</w:t>
      </w:r>
      <w:r w:rsidR="005E6FB2" w:rsidRPr="00E94D47">
        <w:rPr>
          <w:rFonts w:ascii="Times New Roman" w:eastAsia="Times New Roman" w:hAnsi="Times New Roman" w:cs="Times New Roman"/>
        </w:rPr>
        <w:t>,</w:t>
      </w:r>
      <w:r w:rsidRPr="00E94D47">
        <w:rPr>
          <w:rFonts w:ascii="Times New Roman" w:eastAsia="Times New Roman" w:hAnsi="Times New Roman" w:cs="Times New Roman"/>
        </w:rPr>
        <w:t xml:space="preserve"> respecting individual responsibility (40% of participants) while providing institutional facilitation (60% of participants). This approach follows the Qur'anic model where major prohibitions</w:t>
      </w:r>
      <w:r w:rsidR="005E6FB2" w:rsidRPr="00E94D47">
        <w:rPr>
          <w:rFonts w:ascii="Times New Roman" w:eastAsia="Times New Roman" w:hAnsi="Times New Roman" w:cs="Times New Roman"/>
        </w:rPr>
        <w:t>,</w:t>
      </w:r>
      <w:r w:rsidRPr="00E94D47">
        <w:rPr>
          <w:rFonts w:ascii="Times New Roman" w:eastAsia="Times New Roman" w:hAnsi="Times New Roman" w:cs="Times New Roman"/>
        </w:rPr>
        <w:t xml:space="preserve"> including </w:t>
      </w:r>
      <w:proofErr w:type="spellStart"/>
      <w:r w:rsidRPr="00E94D47">
        <w:rPr>
          <w:rFonts w:ascii="Times New Roman" w:eastAsia="Times New Roman" w:hAnsi="Times New Roman" w:cs="Times New Roman"/>
        </w:rPr>
        <w:t>riba</w:t>
      </w:r>
      <w:proofErr w:type="spellEnd"/>
      <w:r w:rsidR="005E6FB2" w:rsidRPr="00E94D47">
        <w:rPr>
          <w:rFonts w:ascii="Times New Roman" w:eastAsia="Times New Roman" w:hAnsi="Times New Roman" w:cs="Times New Roman"/>
        </w:rPr>
        <w:t>,</w:t>
      </w:r>
      <w:r w:rsidRPr="00E94D47">
        <w:rPr>
          <w:rFonts w:ascii="Times New Roman" w:eastAsia="Times New Roman" w:hAnsi="Times New Roman" w:cs="Times New Roman"/>
        </w:rPr>
        <w:t xml:space="preserve"> were introduced gradually rather than instantaneously, allowing believers time to develop understanding and adjust practices.</w:t>
      </w:r>
    </w:p>
    <w:p w14:paraId="5B823391" w14:textId="7B3E2B7A"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Donor education addresses root causes of non-compliance</w:t>
      </w:r>
      <w:r w:rsidR="005E6FB2" w:rsidRPr="00E94D47">
        <w:rPr>
          <w:rFonts w:ascii="Times New Roman" w:eastAsia="Times New Roman" w:hAnsi="Times New Roman" w:cs="Times New Roman"/>
        </w:rPr>
        <w:t>,</w:t>
      </w:r>
      <w:r w:rsidRPr="00E94D47">
        <w:rPr>
          <w:rFonts w:ascii="Times New Roman" w:eastAsia="Times New Roman" w:hAnsi="Times New Roman" w:cs="Times New Roman"/>
        </w:rPr>
        <w:t xml:space="preserve"> ignorance</w:t>
      </w:r>
      <w:r w:rsidR="005E6FB2" w:rsidRPr="00E94D47">
        <w:rPr>
          <w:rFonts w:ascii="Times New Roman" w:eastAsia="Times New Roman" w:hAnsi="Times New Roman" w:cs="Times New Roman"/>
        </w:rPr>
        <w:t>,</w:t>
      </w:r>
      <w:r w:rsidRPr="00E94D47">
        <w:rPr>
          <w:rFonts w:ascii="Times New Roman" w:eastAsia="Times New Roman" w:hAnsi="Times New Roman" w:cs="Times New Roman"/>
        </w:rPr>
        <w:t xml:space="preserve"> and unawareness consistent with Islamic pedagogical traditions emphasizing teaching over enforcement</w:t>
      </w:r>
      <w:r w:rsidR="004F3E78" w:rsidRPr="00E94D47">
        <w:rPr>
          <w:rFonts w:ascii="Times New Roman" w:eastAsia="Times New Roman" w:hAnsi="Times New Roman" w:cs="Times New Roman"/>
        </w:rPr>
        <w:t xml:space="preserve">. </w:t>
      </w:r>
      <w:r w:rsidRPr="00E94D47">
        <w:rPr>
          <w:rFonts w:ascii="Times New Roman" w:eastAsia="Times New Roman" w:hAnsi="Times New Roman" w:cs="Times New Roman"/>
        </w:rPr>
        <w:t xml:space="preserve">Rahman, Abdullah, and Hussin's (2024) research demonstrates that financial literacy regarding payment instruments significantly influences compliance intentions: donors who understand how payment methods affect charitable legitimacy are substantially more likely to self-regulate. Education-focused approaches prove particularly suitable for </w:t>
      </w:r>
      <w:r w:rsidR="005E6FB2" w:rsidRPr="00E94D47">
        <w:rPr>
          <w:rFonts w:ascii="Times New Roman" w:eastAsia="Times New Roman" w:hAnsi="Times New Roman" w:cs="Times New Roman"/>
        </w:rPr>
        <w:t>resource-</w:t>
      </w:r>
      <w:r w:rsidRPr="00E94D47">
        <w:rPr>
          <w:rFonts w:ascii="Times New Roman" w:eastAsia="Times New Roman" w:hAnsi="Times New Roman" w:cs="Times New Roman"/>
        </w:rPr>
        <w:t>constrained institutions, leveraging existing communication channels (post-prayer talks, Ramadan lectures, WhatsApp campaigns) without requiring significant financial investment.</w:t>
      </w:r>
    </w:p>
    <w:p w14:paraId="21DC4259" w14:textId="77777777"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Collectively, these mechanisms reflect </w:t>
      </w:r>
      <w:proofErr w:type="spellStart"/>
      <w:r w:rsidRPr="00E94D47">
        <w:rPr>
          <w:rFonts w:ascii="Times New Roman" w:eastAsia="Times New Roman" w:hAnsi="Times New Roman" w:cs="Times New Roman"/>
        </w:rPr>
        <w:t>maqasid</w:t>
      </w:r>
      <w:proofErr w:type="spellEnd"/>
      <w:r w:rsidRPr="00E94D47">
        <w:rPr>
          <w:rFonts w:ascii="Times New Roman" w:eastAsia="Times New Roman" w:hAnsi="Times New Roman" w:cs="Times New Roman"/>
        </w:rPr>
        <w:t xml:space="preserve"> al-shariah principles: disclosure and education serve </w:t>
      </w:r>
      <w:proofErr w:type="spellStart"/>
      <w:r w:rsidRPr="00E94D47">
        <w:rPr>
          <w:rFonts w:ascii="Times New Roman" w:eastAsia="Times New Roman" w:hAnsi="Times New Roman" w:cs="Times New Roman"/>
        </w:rPr>
        <w:t>hifz</w:t>
      </w:r>
      <w:proofErr w:type="spellEnd"/>
      <w:r w:rsidRPr="00E94D47">
        <w:rPr>
          <w:rFonts w:ascii="Times New Roman" w:eastAsia="Times New Roman" w:hAnsi="Times New Roman" w:cs="Times New Roman"/>
        </w:rPr>
        <w:t xml:space="preserve"> al-din (preservation of faith) by helping communities understand religious obligations; audits and tiered systems serve </w:t>
      </w:r>
      <w:proofErr w:type="spellStart"/>
      <w:r w:rsidRPr="00E94D47">
        <w:rPr>
          <w:rFonts w:ascii="Times New Roman" w:eastAsia="Times New Roman" w:hAnsi="Times New Roman" w:cs="Times New Roman"/>
        </w:rPr>
        <w:t>hifz</w:t>
      </w:r>
      <w:proofErr w:type="spellEnd"/>
      <w:r w:rsidRPr="00E94D47">
        <w:rPr>
          <w:rFonts w:ascii="Times New Roman" w:eastAsia="Times New Roman" w:hAnsi="Times New Roman" w:cs="Times New Roman"/>
        </w:rPr>
        <w:t xml:space="preserve"> al-mal (protection of wealth) by preventing </w:t>
      </w:r>
      <w:proofErr w:type="spellStart"/>
      <w:r w:rsidRPr="00E94D47">
        <w:rPr>
          <w:rFonts w:ascii="Times New Roman" w:eastAsia="Times New Roman" w:hAnsi="Times New Roman" w:cs="Times New Roman"/>
        </w:rPr>
        <w:t>riba</w:t>
      </w:r>
      <w:proofErr w:type="spellEnd"/>
      <w:r w:rsidRPr="00E94D47">
        <w:rPr>
          <w:rFonts w:ascii="Times New Roman" w:eastAsia="Times New Roman" w:hAnsi="Times New Roman" w:cs="Times New Roman"/>
        </w:rPr>
        <w:t xml:space="preserve"> involvement. All four emphasize guidance and voluntary participation rather than coercion, respecting dignity and autonomy as core Islamic values.</w:t>
      </w:r>
    </w:p>
    <w:p w14:paraId="0CC6E6B1" w14:textId="1B16CEF3"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This study introduces "institutional </w:t>
      </w:r>
      <w:proofErr w:type="spellStart"/>
      <w:r w:rsidRPr="00E94D47">
        <w:rPr>
          <w:rFonts w:ascii="Times New Roman" w:eastAsia="Times New Roman" w:hAnsi="Times New Roman" w:cs="Times New Roman"/>
        </w:rPr>
        <w:t>ihtiyat</w:t>
      </w:r>
      <w:proofErr w:type="spellEnd"/>
      <w:r w:rsidRPr="00E94D47">
        <w:rPr>
          <w:rFonts w:ascii="Times New Roman" w:eastAsia="Times New Roman" w:hAnsi="Times New Roman" w:cs="Times New Roman"/>
        </w:rPr>
        <w:t xml:space="preserve">" (organizational-level precautionary principle) as a </w:t>
      </w:r>
      <w:proofErr w:type="spellStart"/>
      <w:r w:rsidRPr="00E94D47">
        <w:rPr>
          <w:rFonts w:ascii="Times New Roman" w:eastAsia="Times New Roman" w:hAnsi="Times New Roman" w:cs="Times New Roman"/>
        </w:rPr>
        <w:t>maqasid</w:t>
      </w:r>
      <w:proofErr w:type="spellEnd"/>
      <w:r w:rsidRPr="00E94D47">
        <w:rPr>
          <w:rFonts w:ascii="Times New Roman" w:eastAsia="Times New Roman" w:hAnsi="Times New Roman" w:cs="Times New Roman"/>
        </w:rPr>
        <w:t xml:space="preserve">-oriented governance framework. While individual </w:t>
      </w:r>
      <w:proofErr w:type="spellStart"/>
      <w:r w:rsidRPr="00E94D47">
        <w:rPr>
          <w:rFonts w:ascii="Times New Roman" w:eastAsia="Times New Roman" w:hAnsi="Times New Roman" w:cs="Times New Roman"/>
        </w:rPr>
        <w:t>ihtiyat</w:t>
      </w:r>
      <w:proofErr w:type="spellEnd"/>
      <w:r w:rsidRPr="00E94D47">
        <w:rPr>
          <w:rFonts w:ascii="Times New Roman" w:eastAsia="Times New Roman" w:hAnsi="Times New Roman" w:cs="Times New Roman"/>
        </w:rPr>
        <w:t xml:space="preserve"> (personal precaution in uncertain matters) is well-established in classical </w:t>
      </w:r>
      <w:proofErr w:type="spellStart"/>
      <w:r w:rsidRPr="00E94D47">
        <w:rPr>
          <w:rFonts w:ascii="Times New Roman" w:eastAsia="Times New Roman" w:hAnsi="Times New Roman" w:cs="Times New Roman"/>
        </w:rPr>
        <w:t>fiqh</w:t>
      </w:r>
      <w:proofErr w:type="spellEnd"/>
      <w:r w:rsidRPr="00E94D47">
        <w:rPr>
          <w:rFonts w:ascii="Times New Roman" w:eastAsia="Times New Roman" w:hAnsi="Times New Roman" w:cs="Times New Roman"/>
        </w:rPr>
        <w:t xml:space="preserve">, this extends the principle institutionally: when religious organizations possess </w:t>
      </w:r>
      <w:r w:rsidR="005E6FB2" w:rsidRPr="00E94D47">
        <w:rPr>
          <w:rFonts w:ascii="Times New Roman" w:eastAsia="Times New Roman" w:hAnsi="Times New Roman" w:cs="Times New Roman"/>
        </w:rPr>
        <w:t xml:space="preserve">the </w:t>
      </w:r>
      <w:r w:rsidRPr="00E94D47">
        <w:rPr>
          <w:rFonts w:ascii="Times New Roman" w:eastAsia="Times New Roman" w:hAnsi="Times New Roman" w:cs="Times New Roman"/>
        </w:rPr>
        <w:t xml:space="preserve">capacity to guide community behavior and prevent harm, they bear proactive obligations under </w:t>
      </w:r>
      <w:proofErr w:type="spellStart"/>
      <w:r w:rsidRPr="00E94D47">
        <w:rPr>
          <w:rFonts w:ascii="Times New Roman" w:eastAsia="Times New Roman" w:hAnsi="Times New Roman" w:cs="Times New Roman"/>
        </w:rPr>
        <w:t>maqasid</w:t>
      </w:r>
      <w:proofErr w:type="spellEnd"/>
      <w:r w:rsidRPr="00E94D47">
        <w:rPr>
          <w:rFonts w:ascii="Times New Roman" w:eastAsia="Times New Roman" w:hAnsi="Times New Roman" w:cs="Times New Roman"/>
        </w:rPr>
        <w:t xml:space="preserve"> principles (particularly </w:t>
      </w:r>
      <w:proofErr w:type="spellStart"/>
      <w:r w:rsidRPr="00E94D47">
        <w:rPr>
          <w:rFonts w:ascii="Times New Roman" w:eastAsia="Times New Roman" w:hAnsi="Times New Roman" w:cs="Times New Roman"/>
        </w:rPr>
        <w:t>hifz</w:t>
      </w:r>
      <w:proofErr w:type="spellEnd"/>
      <w:r w:rsidRPr="00E94D47">
        <w:rPr>
          <w:rFonts w:ascii="Times New Roman" w:eastAsia="Times New Roman" w:hAnsi="Times New Roman" w:cs="Times New Roman"/>
        </w:rPr>
        <w:t xml:space="preserve"> al-mal and </w:t>
      </w:r>
      <w:proofErr w:type="spellStart"/>
      <w:r w:rsidRPr="00E94D47">
        <w:rPr>
          <w:rFonts w:ascii="Times New Roman" w:eastAsia="Times New Roman" w:hAnsi="Times New Roman" w:cs="Times New Roman"/>
        </w:rPr>
        <w:t>hifz</w:t>
      </w:r>
      <w:proofErr w:type="spellEnd"/>
      <w:r w:rsidRPr="00E94D47">
        <w:rPr>
          <w:rFonts w:ascii="Times New Roman" w:eastAsia="Times New Roman" w:hAnsi="Times New Roman" w:cs="Times New Roman"/>
        </w:rPr>
        <w:t xml:space="preserve"> al-din) even when specific legal duties remain undefined in classical texts. This addresses the third-order risk ambiguity documented in findings, providing </w:t>
      </w:r>
      <w:r w:rsidR="005E6FB2" w:rsidRPr="00E94D47">
        <w:rPr>
          <w:rFonts w:ascii="Times New Roman" w:eastAsia="Times New Roman" w:hAnsi="Times New Roman" w:cs="Times New Roman"/>
        </w:rPr>
        <w:t xml:space="preserve">a </w:t>
      </w:r>
      <w:r w:rsidRPr="00E94D47">
        <w:rPr>
          <w:rFonts w:ascii="Times New Roman" w:eastAsia="Times New Roman" w:hAnsi="Times New Roman" w:cs="Times New Roman"/>
        </w:rPr>
        <w:t xml:space="preserve">normative foundation for institutional governance beyond passive-recipient models. </w:t>
      </w:r>
      <w:r w:rsidR="002F07AF" w:rsidRPr="00E94D47">
        <w:rPr>
          <w:rFonts w:ascii="Times New Roman" w:eastAsia="Times New Roman" w:hAnsi="Times New Roman" w:cs="Times New Roman"/>
        </w:rPr>
        <w:t xml:space="preserve">Islamic institutions are expected not only to refrain from actions that contradict </w:t>
      </w:r>
      <w:proofErr w:type="spellStart"/>
      <w:r w:rsidR="002F07AF" w:rsidRPr="00E94D47">
        <w:rPr>
          <w:rFonts w:ascii="Times New Roman" w:eastAsia="Times New Roman" w:hAnsi="Times New Roman" w:cs="Times New Roman"/>
        </w:rPr>
        <w:t>maqasid</w:t>
      </w:r>
      <w:proofErr w:type="spellEnd"/>
      <w:r w:rsidR="002F07AF" w:rsidRPr="00E94D47">
        <w:rPr>
          <w:rFonts w:ascii="Times New Roman" w:eastAsia="Times New Roman" w:hAnsi="Times New Roman" w:cs="Times New Roman"/>
        </w:rPr>
        <w:t xml:space="preserve"> al-sharia but also to proactively promote and strengthen </w:t>
      </w:r>
      <w:r w:rsidR="005E6FB2" w:rsidRPr="00E94D47">
        <w:rPr>
          <w:rFonts w:ascii="Times New Roman" w:eastAsia="Times New Roman" w:hAnsi="Times New Roman" w:cs="Times New Roman"/>
        </w:rPr>
        <w:t xml:space="preserve">their </w:t>
      </w:r>
      <w:r w:rsidR="002F07AF" w:rsidRPr="00E94D47">
        <w:rPr>
          <w:rFonts w:ascii="Times New Roman" w:eastAsia="Times New Roman" w:hAnsi="Times New Roman" w:cs="Times New Roman"/>
        </w:rPr>
        <w:t>objectives. In this regard, mosques should foster ethically grounded donation practices through continuous community education, clear and transparent communication of expectations, and adaptive systems that accommodate varying levels of religious commitment and financial capacity among donors.</w:t>
      </w:r>
    </w:p>
    <w:p w14:paraId="38CEEA19" w14:textId="458CBA84" w:rsidR="00A80EEC" w:rsidRPr="00E94D47" w:rsidRDefault="00A80EEC" w:rsidP="003261E6">
      <w:pPr>
        <w:spacing w:line="240" w:lineRule="auto"/>
        <w:ind w:firstLine="567"/>
        <w:jc w:val="both"/>
        <w:rPr>
          <w:rFonts w:ascii="Times New Roman" w:eastAsia="Times New Roman" w:hAnsi="Times New Roman" w:cs="Times New Roman"/>
        </w:rPr>
      </w:pPr>
      <w:r w:rsidRPr="00E94D47">
        <w:rPr>
          <w:rFonts w:ascii="Times New Roman" w:eastAsia="Times New Roman" w:hAnsi="Times New Roman" w:cs="Times New Roman"/>
        </w:rPr>
        <w:t xml:space="preserve">These mechanisms prove theoretically sound through grounding in established Islamic principles (bayan, </w:t>
      </w:r>
      <w:proofErr w:type="spellStart"/>
      <w:r w:rsidRPr="00E94D47">
        <w:rPr>
          <w:rFonts w:ascii="Times New Roman" w:eastAsia="Times New Roman" w:hAnsi="Times New Roman" w:cs="Times New Roman"/>
        </w:rPr>
        <w:t>tadarruj</w:t>
      </w:r>
      <w:proofErr w:type="spellEnd"/>
      <w:r w:rsidRPr="00E94D47">
        <w:rPr>
          <w:rFonts w:ascii="Times New Roman" w:eastAsia="Times New Roman" w:hAnsi="Times New Roman" w:cs="Times New Roman"/>
        </w:rPr>
        <w:t xml:space="preserve">, consultation with scholars, </w:t>
      </w:r>
      <w:proofErr w:type="spellStart"/>
      <w:r w:rsidRPr="00E94D47">
        <w:rPr>
          <w:rFonts w:ascii="Times New Roman" w:eastAsia="Times New Roman" w:hAnsi="Times New Roman" w:cs="Times New Roman"/>
        </w:rPr>
        <w:t>ta'lim</w:t>
      </w:r>
      <w:proofErr w:type="spellEnd"/>
      <w:r w:rsidRPr="00E94D47">
        <w:rPr>
          <w:rFonts w:ascii="Times New Roman" w:eastAsia="Times New Roman" w:hAnsi="Times New Roman" w:cs="Times New Roman"/>
        </w:rPr>
        <w:t>) while remaining practically viable by addressing documented barriers: disclosure requires no resources, tiered systems need minimal technical investment, audits could be subsidized institutionally, and education leverages existing channels. The high stakeholder support levels (70-90%) suggest genuine receptivity when solutions balance compliance objectives with operational realities.</w:t>
      </w:r>
    </w:p>
    <w:p w14:paraId="5F0FDC54" w14:textId="77777777" w:rsidR="00A80EEC" w:rsidRPr="00E94D47" w:rsidRDefault="00A80EEC" w:rsidP="003261E6">
      <w:pPr>
        <w:spacing w:line="240" w:lineRule="auto"/>
        <w:ind w:firstLine="567"/>
        <w:rPr>
          <w:rFonts w:ascii="Times New Roman" w:eastAsia="Times New Roman" w:hAnsi="Times New Roman" w:cs="Times New Roman"/>
        </w:rPr>
      </w:pPr>
    </w:p>
    <w:p w14:paraId="19FDB44B" w14:textId="77777777" w:rsidR="001F0B4A" w:rsidRPr="00E94D47" w:rsidRDefault="001F0B4A"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 xml:space="preserve">Conclusions </w:t>
      </w:r>
    </w:p>
    <w:p w14:paraId="0BE15B65" w14:textId="33D33172" w:rsidR="009E7FD9" w:rsidRPr="00E94D47" w:rsidRDefault="009E7FD9"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This research systematically examined QRIS-based mosque donations funded through conventional credit cards using qualitative methodology combining doctrinal legal analysis, DSN-MUI fatwa review, and Braun and Clarke</w:t>
      </w:r>
      <w:r w:rsidR="005E6FB2" w:rsidRPr="00E94D47">
        <w:rPr>
          <w:rFonts w:ascii="Times New Roman" w:eastAsia="Times New Roman" w:hAnsi="Times New Roman" w:cs="Times New Roman"/>
          <w:bCs/>
          <w:lang w:val="en-ID"/>
        </w:rPr>
        <w:t>'s</w:t>
      </w:r>
      <w:r w:rsidRPr="00E94D47">
        <w:rPr>
          <w:rFonts w:ascii="Times New Roman" w:eastAsia="Times New Roman" w:hAnsi="Times New Roman" w:cs="Times New Roman"/>
          <w:bCs/>
          <w:lang w:val="en-ID"/>
        </w:rPr>
        <w:t xml:space="preserve"> (2019) thematic analysis of empirical interview data from seventeen participants.</w:t>
      </w:r>
    </w:p>
    <w:p w14:paraId="5F7BDF8C" w14:textId="148376D2" w:rsidR="009E7FD9" w:rsidRPr="00E94D47" w:rsidRDefault="009E7FD9"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The investigation addressed three interconnected research questions regarding contractual structure, sharia compliance risks, and governance frameworks for digital mosque donations. Regarding the contractual architecture of QRIS transactions funded through conventional credit cards, the study identified six distinct contractual layers: the primary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xml:space="preserve"> (charitable gift) contract, credit extension agreement, payment authorization, merchant settlement, interbank </w:t>
      </w:r>
      <w:r w:rsidRPr="00E94D47">
        <w:rPr>
          <w:rFonts w:ascii="Times New Roman" w:eastAsia="Times New Roman" w:hAnsi="Times New Roman" w:cs="Times New Roman"/>
          <w:bCs/>
          <w:lang w:val="en-ID"/>
        </w:rPr>
        <w:lastRenderedPageBreak/>
        <w:t>settlement, and foreign exchange processing</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where applicable. While the primary </w:t>
      </w:r>
      <w:proofErr w:type="spellStart"/>
      <w:r w:rsidRPr="00E94D47">
        <w:rPr>
          <w:rFonts w:ascii="Times New Roman" w:eastAsia="Times New Roman" w:hAnsi="Times New Roman" w:cs="Times New Roman"/>
          <w:bCs/>
          <w:lang w:val="en-ID"/>
        </w:rPr>
        <w:t>hibah</w:t>
      </w:r>
      <w:proofErr w:type="spellEnd"/>
      <w:r w:rsidRPr="00E94D47">
        <w:rPr>
          <w:rFonts w:ascii="Times New Roman" w:eastAsia="Times New Roman" w:hAnsi="Times New Roman" w:cs="Times New Roman"/>
          <w:bCs/>
          <w:lang w:val="en-ID"/>
        </w:rPr>
        <w:t> contract satisfies classical Islamic jurisprudential requirements for voluntary charitable giving, intermediate layers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particularly credit extension agreements involving </w:t>
      </w:r>
      <w:r w:rsidR="005E6FB2" w:rsidRPr="00E94D47">
        <w:rPr>
          <w:rFonts w:ascii="Times New Roman" w:eastAsia="Times New Roman" w:hAnsi="Times New Roman" w:cs="Times New Roman"/>
          <w:bCs/>
          <w:lang w:val="en-ID"/>
        </w:rPr>
        <w:t>interest-</w:t>
      </w:r>
      <w:r w:rsidRPr="00E94D47">
        <w:rPr>
          <w:rFonts w:ascii="Times New Roman" w:eastAsia="Times New Roman" w:hAnsi="Times New Roman" w:cs="Times New Roman"/>
          <w:bCs/>
          <w:lang w:val="en-ID"/>
        </w:rPr>
        <w:t>bearing debt</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introduce potential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al-</w:t>
      </w:r>
      <w:proofErr w:type="spellStart"/>
      <w:r w:rsidRPr="00E94D47">
        <w:rPr>
          <w:rFonts w:ascii="Times New Roman" w:eastAsia="Times New Roman" w:hAnsi="Times New Roman" w:cs="Times New Roman"/>
          <w:bCs/>
          <w:lang w:val="en-ID"/>
        </w:rPr>
        <w:t>nasia</w:t>
      </w:r>
      <w:proofErr w:type="spellEnd"/>
      <w:r w:rsidRPr="00E94D47">
        <w:rPr>
          <w:rFonts w:ascii="Times New Roman" w:eastAsia="Times New Roman" w:hAnsi="Times New Roman" w:cs="Times New Roman"/>
          <w:bCs/>
          <w:lang w:val="en-ID"/>
        </w:rPr>
        <w:t> violations inconsistent with DSN-MUI Fatwa 92/2014 requirements</w:t>
      </w:r>
      <w:r w:rsidR="002F07AF" w:rsidRPr="00E94D47">
        <w:rPr>
          <w:rFonts w:ascii="Times New Roman" w:eastAsia="Times New Roman" w:hAnsi="Times New Roman" w:cs="Times New Roman"/>
          <w:bCs/>
          <w:lang w:val="en-ID"/>
        </w:rPr>
        <w:t xml:space="preserve">. </w:t>
      </w:r>
      <w:r w:rsidRPr="00E94D47">
        <w:rPr>
          <w:rFonts w:ascii="Times New Roman" w:eastAsia="Times New Roman" w:hAnsi="Times New Roman" w:cs="Times New Roman"/>
          <w:bCs/>
          <w:lang w:val="en-ID"/>
        </w:rPr>
        <w:t>The contractual analysis revealed that aggregate transaction legitimacy remains substantially ambiguous when 35-40% of donors carry interest-bearing balances, creating direct conflicts with sharia principles despite individual contract components appearing technically permissible.</w:t>
      </w:r>
    </w:p>
    <w:p w14:paraId="2E3BDDFE" w14:textId="3E269C45" w:rsidR="009E7FD9" w:rsidRPr="00E94D47" w:rsidRDefault="009E7FD9"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Concerning the specific risks of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involvement and broader compliance concerns, </w:t>
      </w:r>
      <w:r w:rsidR="005E6FB2" w:rsidRPr="00E94D47">
        <w:rPr>
          <w:rFonts w:ascii="Times New Roman" w:eastAsia="Times New Roman" w:hAnsi="Times New Roman" w:cs="Times New Roman"/>
          <w:bCs/>
          <w:lang w:val="en-ID"/>
        </w:rPr>
        <w:t xml:space="preserve">the </w:t>
      </w:r>
      <w:r w:rsidRPr="00E94D47">
        <w:rPr>
          <w:rFonts w:ascii="Times New Roman" w:eastAsia="Times New Roman" w:hAnsi="Times New Roman" w:cs="Times New Roman"/>
          <w:bCs/>
          <w:lang w:val="en-ID"/>
        </w:rPr>
        <w:t>analysis identified three risk categories with varying degrees of severity and institutional control. First-order risks involve explicit interest charges affecting 35-40% of credit card donors who maintain unpaid balances beyond grace periods, constituting direct </w:t>
      </w:r>
      <w:proofErr w:type="spellStart"/>
      <w:r w:rsidRPr="00E94D47">
        <w:rPr>
          <w:rFonts w:ascii="Times New Roman" w:eastAsia="Times New Roman" w:hAnsi="Times New Roman" w:cs="Times New Roman"/>
          <w:bCs/>
          <w:lang w:val="en-ID"/>
        </w:rPr>
        <w:t>riba</w:t>
      </w:r>
      <w:proofErr w:type="spellEnd"/>
      <w:r w:rsidRPr="00E94D47">
        <w:rPr>
          <w:rFonts w:ascii="Times New Roman" w:eastAsia="Times New Roman" w:hAnsi="Times New Roman" w:cs="Times New Roman"/>
          <w:bCs/>
          <w:lang w:val="en-ID"/>
        </w:rPr>
        <w:t xml:space="preserve"> al-</w:t>
      </w:r>
      <w:proofErr w:type="spellStart"/>
      <w:r w:rsidRPr="00E94D47">
        <w:rPr>
          <w:rFonts w:ascii="Times New Roman" w:eastAsia="Times New Roman" w:hAnsi="Times New Roman" w:cs="Times New Roman"/>
          <w:bCs/>
          <w:lang w:val="en-ID"/>
        </w:rPr>
        <w:t>nasia</w:t>
      </w:r>
      <w:proofErr w:type="spellEnd"/>
      <w:r w:rsidRPr="00E94D47">
        <w:rPr>
          <w:rFonts w:ascii="Times New Roman" w:eastAsia="Times New Roman" w:hAnsi="Times New Roman" w:cs="Times New Roman"/>
          <w:bCs/>
          <w:lang w:val="en-ID"/>
        </w:rPr>
        <w:t> violations. Second-order risks relate to transparency and authenticity concerns regarding credit-financed charitable giving, wherein donors utilize borrowed funds rather than existing wealth, potentially compromising the spiritual legitimacy of charitable acts. Third-order risks involve institutional accountability ambiguities, with divergent stakeholder perspectives regarding mosque responsibility for ensuring donation source legitimacy. These findings demonstrate that </w:t>
      </w:r>
      <w:r w:rsidR="005E6FB2" w:rsidRPr="00E94D47">
        <w:rPr>
          <w:rFonts w:ascii="Times New Roman" w:eastAsia="Times New Roman" w:hAnsi="Times New Roman" w:cs="Times New Roman"/>
          <w:bCs/>
          <w:lang w:val="en-ID"/>
        </w:rPr>
        <w:t>Riba </w:t>
      </w:r>
      <w:r w:rsidRPr="00E94D47">
        <w:rPr>
          <w:rFonts w:ascii="Times New Roman" w:eastAsia="Times New Roman" w:hAnsi="Times New Roman" w:cs="Times New Roman"/>
          <w:bCs/>
          <w:lang w:val="en-ID"/>
        </w:rPr>
        <w:t xml:space="preserve">involvement in QRIS mosque donations substantially exceeds the 15-20% rates documented in conventional Islamic banking contexts, indicating acute compliance challenges unique to charitable institution settings. The research confirmed that while QRIS technology itself introduces no inherent </w:t>
      </w:r>
      <w:r w:rsidR="005E6FB2" w:rsidRPr="00E94D47">
        <w:rPr>
          <w:rFonts w:ascii="Times New Roman" w:eastAsia="Times New Roman" w:hAnsi="Times New Roman" w:cs="Times New Roman"/>
          <w:bCs/>
          <w:lang w:val="en-ID"/>
        </w:rPr>
        <w:t xml:space="preserve">Sharia </w:t>
      </w:r>
      <w:r w:rsidRPr="00E94D47">
        <w:rPr>
          <w:rFonts w:ascii="Times New Roman" w:eastAsia="Times New Roman" w:hAnsi="Times New Roman" w:cs="Times New Roman"/>
          <w:bCs/>
          <w:lang w:val="en-ID"/>
        </w:rPr>
        <w:t>violations, payment instrument selection</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specifically conventional credit cards with interest-bearing features</w:t>
      </w:r>
      <w:r w:rsidR="005E6FB2" w:rsidRPr="00E94D47">
        <w:rPr>
          <w:rFonts w:ascii="Times New Roman" w:eastAsia="Times New Roman" w:hAnsi="Times New Roman" w:cs="Times New Roman"/>
          <w:bCs/>
          <w:lang w:val="en-ID"/>
        </w:rPr>
        <w:t>,</w:t>
      </w:r>
      <w:r w:rsidRPr="00E94D47">
        <w:rPr>
          <w:rFonts w:ascii="Times New Roman" w:eastAsia="Times New Roman" w:hAnsi="Times New Roman" w:cs="Times New Roman"/>
          <w:bCs/>
          <w:lang w:val="en-ID"/>
        </w:rPr>
        <w:t xml:space="preserve"> creates substantive compliance concerns requiring institutional intervention beyond donor self-regulation.</w:t>
      </w:r>
    </w:p>
    <w:p w14:paraId="49C034D6" w14:textId="77777777" w:rsidR="009E7FD9" w:rsidRPr="00E94D47" w:rsidRDefault="009E7FD9" w:rsidP="00E94D47">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Regarding practical governance frameworks that mosques can implement while maintaining operational feasibility, empirical investigation revealed significant gaps in current practices. Analysis showed that 65% of surveyed mosques implemented minimal governance mechanisms beyond simply accepting QRIS payments, with only 30% establishing explicit donor disclosures regarding halal sourcing requirements. The research identified three practical governance mechanisms balancing sharia compliance objectives with operational constraints: explicit institutional disclosure and expectation-setting regarding donation source legitimacy, tiered donation acceptance frameworks enabling voluntary donor self-identification of payment instrument characteristics, and periodic institutional governance reviews conducted with Islamic finance expert consultation. These mechanisms address the concerns expressed by 70% of administrators that enhanced verification procedures might deter donor participation, particularly among younger, digitally-native demographics, by emphasizing transparency and voluntary compliance rather than invasive monitoring or restrictive controls.</w:t>
      </w:r>
    </w:p>
    <w:p w14:paraId="3FDDE581" w14:textId="77777777" w:rsidR="009E7FD9" w:rsidRPr="00E94D47" w:rsidRDefault="009E7FD9" w:rsidP="00E94D47">
      <w:pPr>
        <w:spacing w:line="240" w:lineRule="auto"/>
        <w:rPr>
          <w:rFonts w:ascii="Times New Roman" w:eastAsia="Times New Roman" w:hAnsi="Times New Roman" w:cs="Times New Roman"/>
          <w:bCs/>
          <w:lang w:val="en-ID"/>
        </w:rPr>
      </w:pPr>
    </w:p>
    <w:p w14:paraId="1DA88827" w14:textId="77777777" w:rsidR="009E7FD9" w:rsidRPr="00E94D47" w:rsidRDefault="009E7FD9" w:rsidP="00E94D47">
      <w:pPr>
        <w:spacing w:line="240" w:lineRule="auto"/>
        <w:rPr>
          <w:rFonts w:ascii="Times New Roman" w:eastAsia="Times New Roman" w:hAnsi="Times New Roman" w:cs="Times New Roman"/>
          <w:bCs/>
          <w:lang w:val="en-ID"/>
        </w:rPr>
      </w:pPr>
      <w:r w:rsidRPr="00E94D47">
        <w:rPr>
          <w:rFonts w:ascii="Times New Roman" w:eastAsia="Times New Roman" w:hAnsi="Times New Roman" w:cs="Times New Roman"/>
          <w:b/>
          <w:bCs/>
          <w:lang w:val="en-ID"/>
        </w:rPr>
        <w:t>Research Limitations</w:t>
      </w:r>
    </w:p>
    <w:p w14:paraId="7C5BFAB8" w14:textId="08825E1F" w:rsidR="009E7FD9" w:rsidRPr="00E94D47" w:rsidRDefault="009E7FD9" w:rsidP="003261E6">
      <w:pPr>
        <w:spacing w:line="240" w:lineRule="auto"/>
        <w:ind w:firstLine="567"/>
        <w:jc w:val="both"/>
        <w:rPr>
          <w:rFonts w:ascii="Times New Roman" w:eastAsia="Times New Roman" w:hAnsi="Times New Roman" w:cs="Times New Roman"/>
          <w:bCs/>
          <w:lang w:val="en-ID"/>
        </w:rPr>
      </w:pPr>
      <w:r w:rsidRPr="00E94D47">
        <w:rPr>
          <w:rFonts w:ascii="Times New Roman" w:eastAsia="Times New Roman" w:hAnsi="Times New Roman" w:cs="Times New Roman"/>
          <w:bCs/>
          <w:lang w:val="en-ID"/>
        </w:rPr>
        <w:t xml:space="preserve">This study acknowledges several limitations affecting generalizability and interpretation. Geographic limitation: Research was conducted exclusively in Indonesia; findings may not apply to Muslim-majority contexts with different regulatory frameworks or cultural practices. Sample size limitation: Seventeen interview participants, while providing rich qualitative insights, represent a modest sample; larger-scale investigations incorporating broader geographic and institutional representation would strengthen empirical conclusions. Temporal limitation: The June-September 2025 interview period represents a specific temporal snapshot; QRIS adoption practices and DSN-MUI guidance continue evolving, potentially affecting current relevance. Self-reported data limitation: Interview participants may have presented institutional practices in ways reflecting preferences rather than complete </w:t>
      </w:r>
      <w:proofErr w:type="spellStart"/>
      <w:r w:rsidRPr="00E94D47">
        <w:rPr>
          <w:rFonts w:ascii="Times New Roman" w:eastAsia="Times New Roman" w:hAnsi="Times New Roman" w:cs="Times New Roman"/>
          <w:bCs/>
          <w:lang w:val="en-ID"/>
        </w:rPr>
        <w:t>candor</w:t>
      </w:r>
      <w:proofErr w:type="spellEnd"/>
      <w:r w:rsidRPr="00E94D47">
        <w:rPr>
          <w:rFonts w:ascii="Times New Roman" w:eastAsia="Times New Roman" w:hAnsi="Times New Roman" w:cs="Times New Roman"/>
          <w:bCs/>
          <w:lang w:val="en-ID"/>
        </w:rPr>
        <w:t xml:space="preserve">, introducing potential response bias. Generalizability consideration: Findings regarding governance effectiveness remain preliminary; longitudinal studies tracking actual implementation outcomes would provide </w:t>
      </w:r>
      <w:r w:rsidRPr="00E94D47">
        <w:rPr>
          <w:rFonts w:ascii="Times New Roman" w:eastAsia="Times New Roman" w:hAnsi="Times New Roman" w:cs="Times New Roman"/>
          <w:bCs/>
          <w:lang w:val="en-ID"/>
        </w:rPr>
        <w:lastRenderedPageBreak/>
        <w:t xml:space="preserve">stronger evidence regarding whether proposed mechanisms effectively influence donor </w:t>
      </w:r>
      <w:proofErr w:type="spellStart"/>
      <w:r w:rsidRPr="00E94D47">
        <w:rPr>
          <w:rFonts w:ascii="Times New Roman" w:eastAsia="Times New Roman" w:hAnsi="Times New Roman" w:cs="Times New Roman"/>
          <w:bCs/>
          <w:lang w:val="en-ID"/>
        </w:rPr>
        <w:t>behavior</w:t>
      </w:r>
      <w:proofErr w:type="spellEnd"/>
      <w:r w:rsidRPr="00E94D47">
        <w:rPr>
          <w:rFonts w:ascii="Times New Roman" w:eastAsia="Times New Roman" w:hAnsi="Times New Roman" w:cs="Times New Roman"/>
          <w:bCs/>
          <w:lang w:val="en-ID"/>
        </w:rPr>
        <w:t xml:space="preserve"> and institutional compliance.</w:t>
      </w:r>
    </w:p>
    <w:p w14:paraId="1ED6EAD3" w14:textId="77777777" w:rsidR="001F0B4A" w:rsidRPr="00E94D47" w:rsidRDefault="001F0B4A" w:rsidP="003261E6">
      <w:pPr>
        <w:spacing w:line="240" w:lineRule="auto"/>
        <w:ind w:firstLine="567"/>
        <w:rPr>
          <w:rFonts w:ascii="Times New Roman" w:eastAsia="Times New Roman" w:hAnsi="Times New Roman" w:cs="Times New Roman"/>
          <w:bCs/>
        </w:rPr>
      </w:pPr>
    </w:p>
    <w:p w14:paraId="065E6196" w14:textId="77777777" w:rsidR="001F0B4A" w:rsidRPr="00E94D47" w:rsidRDefault="001F0B4A" w:rsidP="00E94D47">
      <w:pPr>
        <w:spacing w:line="240" w:lineRule="auto"/>
        <w:rPr>
          <w:rFonts w:ascii="Times New Roman" w:eastAsia="Times New Roman" w:hAnsi="Times New Roman" w:cs="Times New Roman"/>
          <w:b/>
        </w:rPr>
      </w:pPr>
      <w:r w:rsidRPr="00E94D47">
        <w:rPr>
          <w:rFonts w:ascii="Times New Roman" w:eastAsia="Times New Roman" w:hAnsi="Times New Roman" w:cs="Times New Roman"/>
          <w:b/>
        </w:rPr>
        <w:t>References</w:t>
      </w:r>
    </w:p>
    <w:p w14:paraId="66B8BCA1" w14:textId="7C6683F7" w:rsidR="002F07AF" w:rsidRPr="003261E6" w:rsidRDefault="002F07AF"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Alshater</w:t>
      </w:r>
      <w:proofErr w:type="spellEnd"/>
      <w:r w:rsidRPr="003261E6">
        <w:rPr>
          <w:rFonts w:ascii="Times New Roman" w:hAnsi="Times New Roman" w:cs="Times New Roman"/>
          <w:sz w:val="20"/>
          <w:szCs w:val="20"/>
        </w:rPr>
        <w:t xml:space="preserve">, M. M. (2026). </w:t>
      </w:r>
      <w:r w:rsidRPr="003261E6">
        <w:rPr>
          <w:rFonts w:ascii="Times New Roman" w:hAnsi="Times New Roman" w:cs="Times New Roman"/>
          <w:i/>
          <w:iCs/>
          <w:sz w:val="20"/>
          <w:szCs w:val="20"/>
        </w:rPr>
        <w:t>FinTech innovation and Islamic finance: A thematic literature review</w:t>
      </w:r>
      <w:r w:rsidRPr="003261E6">
        <w:rPr>
          <w:rFonts w:ascii="Times New Roman" w:hAnsi="Times New Roman" w:cs="Times New Roman"/>
          <w:sz w:val="20"/>
          <w:szCs w:val="20"/>
        </w:rPr>
        <w:t>. Journal of Islamic Financial Studies.</w:t>
      </w:r>
    </w:p>
    <w:p w14:paraId="5CA66C7E" w14:textId="23A0D3EC"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Alam, N., &amp; Rizvi, S. A. R. (2023). Shariah compliance in fintech app solutions: An Islamic legal perspective. International Journal of Islamic Finance and Financial Services, 9(1), 34-52.</w:t>
      </w:r>
    </w:p>
    <w:p w14:paraId="30929164" w14:textId="79160F7A" w:rsidR="00544BA2" w:rsidRPr="003261E6" w:rsidRDefault="00544BA2"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Amal, M. A., Gunawan, D., </w:t>
      </w:r>
      <w:proofErr w:type="spellStart"/>
      <w:r w:rsidRPr="003261E6">
        <w:rPr>
          <w:rFonts w:ascii="Times New Roman" w:hAnsi="Times New Roman" w:cs="Times New Roman"/>
          <w:sz w:val="20"/>
          <w:szCs w:val="20"/>
        </w:rPr>
        <w:t>Choiri</w:t>
      </w:r>
      <w:proofErr w:type="spellEnd"/>
      <w:r w:rsidRPr="003261E6">
        <w:rPr>
          <w:rFonts w:ascii="Times New Roman" w:hAnsi="Times New Roman" w:cs="Times New Roman"/>
          <w:sz w:val="20"/>
          <w:szCs w:val="20"/>
        </w:rPr>
        <w:t xml:space="preserve">, M., &amp; Badrus Zaman, A. R. (2024). The impact of </w:t>
      </w:r>
      <w:proofErr w:type="spellStart"/>
      <w:r w:rsidRPr="003261E6">
        <w:rPr>
          <w:rFonts w:ascii="Times New Roman" w:hAnsi="Times New Roman" w:cs="Times New Roman"/>
          <w:sz w:val="20"/>
          <w:szCs w:val="20"/>
        </w:rPr>
        <w:t>maqashid</w:t>
      </w:r>
      <w:proofErr w:type="spellEnd"/>
      <w:r w:rsidRPr="003261E6">
        <w:rPr>
          <w:rFonts w:ascii="Times New Roman" w:hAnsi="Times New Roman" w:cs="Times New Roman"/>
          <w:sz w:val="20"/>
          <w:szCs w:val="20"/>
        </w:rPr>
        <w:t xml:space="preserve"> syariah on the human development index (HDI): The case of Indonesia. </w:t>
      </w:r>
      <w:r w:rsidRPr="003261E6">
        <w:rPr>
          <w:rFonts w:ascii="Times New Roman" w:hAnsi="Times New Roman" w:cs="Times New Roman"/>
          <w:i/>
          <w:iCs/>
          <w:sz w:val="20"/>
          <w:szCs w:val="20"/>
        </w:rPr>
        <w:t>Journal of Islamic Economic Laws, 7</w:t>
      </w:r>
      <w:r w:rsidRPr="003261E6">
        <w:rPr>
          <w:rFonts w:ascii="Times New Roman" w:hAnsi="Times New Roman" w:cs="Times New Roman"/>
          <w:sz w:val="20"/>
          <w:szCs w:val="20"/>
        </w:rPr>
        <w:t>(2), 109–127. https://doi.org/10.23917/jisel.v7i02.6127</w:t>
      </w:r>
    </w:p>
    <w:p w14:paraId="5FB986D4" w14:textId="6D2AF25D"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Bank Indonesia. (2019). </w:t>
      </w:r>
      <w:proofErr w:type="spellStart"/>
      <w:r w:rsidRPr="003261E6">
        <w:rPr>
          <w:rFonts w:ascii="Times New Roman" w:hAnsi="Times New Roman" w:cs="Times New Roman"/>
          <w:sz w:val="20"/>
          <w:szCs w:val="20"/>
        </w:rPr>
        <w:t>Peraturan</w:t>
      </w:r>
      <w:proofErr w:type="spellEnd"/>
      <w:r w:rsidRPr="003261E6">
        <w:rPr>
          <w:rFonts w:ascii="Times New Roman" w:hAnsi="Times New Roman" w:cs="Times New Roman"/>
          <w:sz w:val="20"/>
          <w:szCs w:val="20"/>
        </w:rPr>
        <w:t xml:space="preserve"> Bank Indonesia </w:t>
      </w:r>
      <w:proofErr w:type="spellStart"/>
      <w:r w:rsidRPr="003261E6">
        <w:rPr>
          <w:rFonts w:ascii="Times New Roman" w:hAnsi="Times New Roman" w:cs="Times New Roman"/>
          <w:sz w:val="20"/>
          <w:szCs w:val="20"/>
        </w:rPr>
        <w:t>Nomor</w:t>
      </w:r>
      <w:proofErr w:type="spellEnd"/>
      <w:r w:rsidRPr="003261E6">
        <w:rPr>
          <w:rFonts w:ascii="Times New Roman" w:hAnsi="Times New Roman" w:cs="Times New Roman"/>
          <w:sz w:val="20"/>
          <w:szCs w:val="20"/>
        </w:rPr>
        <w:t xml:space="preserve"> 21/18/PBI/2019 </w:t>
      </w:r>
      <w:proofErr w:type="spellStart"/>
      <w:r w:rsidRPr="003261E6">
        <w:rPr>
          <w:rFonts w:ascii="Times New Roman" w:hAnsi="Times New Roman" w:cs="Times New Roman"/>
          <w:sz w:val="20"/>
          <w:szCs w:val="20"/>
        </w:rPr>
        <w:t>tentang</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Implementasi</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Standar</w:t>
      </w:r>
      <w:proofErr w:type="spellEnd"/>
      <w:r w:rsidRPr="003261E6">
        <w:rPr>
          <w:rFonts w:ascii="Times New Roman" w:hAnsi="Times New Roman" w:cs="Times New Roman"/>
          <w:sz w:val="20"/>
          <w:szCs w:val="20"/>
        </w:rPr>
        <w:t xml:space="preserve"> Nasional Quick Response Code </w:t>
      </w:r>
      <w:proofErr w:type="spellStart"/>
      <w:r w:rsidRPr="003261E6">
        <w:rPr>
          <w:rFonts w:ascii="Times New Roman" w:hAnsi="Times New Roman" w:cs="Times New Roman"/>
          <w:sz w:val="20"/>
          <w:szCs w:val="20"/>
        </w:rPr>
        <w:t>untuk</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Pembayaran</w:t>
      </w:r>
      <w:proofErr w:type="spellEnd"/>
      <w:r w:rsidRPr="003261E6">
        <w:rPr>
          <w:rFonts w:ascii="Times New Roman" w:hAnsi="Times New Roman" w:cs="Times New Roman"/>
          <w:sz w:val="20"/>
          <w:szCs w:val="20"/>
        </w:rPr>
        <w:t>. Bank Indonesia.</w:t>
      </w:r>
    </w:p>
    <w:p w14:paraId="388B4FE6" w14:textId="3E375E57"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Bank Indonesia. (2023). </w:t>
      </w:r>
      <w:proofErr w:type="spellStart"/>
      <w:r w:rsidRPr="003261E6">
        <w:rPr>
          <w:rFonts w:ascii="Times New Roman" w:hAnsi="Times New Roman" w:cs="Times New Roman"/>
          <w:sz w:val="20"/>
          <w:szCs w:val="20"/>
        </w:rPr>
        <w:t>Statistik</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Sistem</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Pembayaran</w:t>
      </w:r>
      <w:proofErr w:type="spellEnd"/>
      <w:r w:rsidRPr="003261E6">
        <w:rPr>
          <w:rFonts w:ascii="Times New Roman" w:hAnsi="Times New Roman" w:cs="Times New Roman"/>
          <w:sz w:val="20"/>
          <w:szCs w:val="20"/>
        </w:rPr>
        <w:t xml:space="preserve"> Indonesia. Bank Indonesia.</w:t>
      </w:r>
    </w:p>
    <w:p w14:paraId="327F9F3C" w14:textId="5C0814FF" w:rsidR="00C120D2" w:rsidRPr="003261E6" w:rsidRDefault="00C120D2"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Bathusha</w:t>
      </w:r>
      <w:proofErr w:type="spellEnd"/>
      <w:r w:rsidRPr="003261E6">
        <w:rPr>
          <w:rFonts w:ascii="Times New Roman" w:hAnsi="Times New Roman" w:cs="Times New Roman"/>
          <w:sz w:val="20"/>
          <w:szCs w:val="20"/>
        </w:rPr>
        <w:t xml:space="preserve">, M. M., &amp; Isa, M. Y. (2024). Islamic Credit Card and its Value-Based Proposition: A Perspective from </w:t>
      </w:r>
      <w:proofErr w:type="spellStart"/>
      <w:r w:rsidRPr="003261E6">
        <w:rPr>
          <w:rFonts w:ascii="Times New Roman" w:hAnsi="Times New Roman" w:cs="Times New Roman"/>
          <w:sz w:val="20"/>
          <w:szCs w:val="20"/>
        </w:rPr>
        <w:t>Maqasid</w:t>
      </w:r>
      <w:proofErr w:type="spellEnd"/>
      <w:r w:rsidRPr="003261E6">
        <w:rPr>
          <w:rFonts w:ascii="Times New Roman" w:hAnsi="Times New Roman" w:cs="Times New Roman"/>
          <w:sz w:val="20"/>
          <w:szCs w:val="20"/>
        </w:rPr>
        <w:t xml:space="preserve"> Al-Shariah. International Journal of Research and Scientific Innovation (IJRSI), 12(10), 1143–1156.</w:t>
      </w:r>
    </w:p>
    <w:p w14:paraId="2F237E17" w14:textId="275BB628"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Braun, V., &amp; Clarke, V. (2019). Reflecting on reflexive thematic analysis. Qualitative Research in Sport, Exercise and Health, 11(4), 589-597.</w:t>
      </w:r>
    </w:p>
    <w:p w14:paraId="0237FEE4" w14:textId="5ADD72EE"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Dewan Syariah Nasional </w:t>
      </w:r>
      <w:proofErr w:type="spellStart"/>
      <w:r w:rsidRPr="003261E6">
        <w:rPr>
          <w:rFonts w:ascii="Times New Roman" w:hAnsi="Times New Roman" w:cs="Times New Roman"/>
          <w:sz w:val="20"/>
          <w:szCs w:val="20"/>
        </w:rPr>
        <w:t>Majelis</w:t>
      </w:r>
      <w:proofErr w:type="spellEnd"/>
      <w:r w:rsidRPr="003261E6">
        <w:rPr>
          <w:rFonts w:ascii="Times New Roman" w:hAnsi="Times New Roman" w:cs="Times New Roman"/>
          <w:sz w:val="20"/>
          <w:szCs w:val="20"/>
        </w:rPr>
        <w:t xml:space="preserve"> Ulama Indonesia. (2017). Fatwa No. 116/DSN-MUI/IX/2017 </w:t>
      </w:r>
      <w:proofErr w:type="spellStart"/>
      <w:r w:rsidRPr="003261E6">
        <w:rPr>
          <w:rFonts w:ascii="Times New Roman" w:hAnsi="Times New Roman" w:cs="Times New Roman"/>
          <w:sz w:val="20"/>
          <w:szCs w:val="20"/>
        </w:rPr>
        <w:t>tentang</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sumber</w:t>
      </w:r>
      <w:proofErr w:type="spellEnd"/>
      <w:r w:rsidRPr="003261E6">
        <w:rPr>
          <w:rFonts w:ascii="Times New Roman" w:hAnsi="Times New Roman" w:cs="Times New Roman"/>
          <w:sz w:val="20"/>
          <w:szCs w:val="20"/>
        </w:rPr>
        <w:t xml:space="preserve"> dana zakat dan </w:t>
      </w:r>
      <w:proofErr w:type="spellStart"/>
      <w:r w:rsidRPr="003261E6">
        <w:rPr>
          <w:rFonts w:ascii="Times New Roman" w:hAnsi="Times New Roman" w:cs="Times New Roman"/>
          <w:sz w:val="20"/>
          <w:szCs w:val="20"/>
        </w:rPr>
        <w:t>sadaqah</w:t>
      </w:r>
      <w:proofErr w:type="spellEnd"/>
      <w:r w:rsidRPr="003261E6">
        <w:rPr>
          <w:rFonts w:ascii="Times New Roman" w:hAnsi="Times New Roman" w:cs="Times New Roman"/>
          <w:sz w:val="20"/>
          <w:szCs w:val="20"/>
        </w:rPr>
        <w:t xml:space="preserve"> pada </w:t>
      </w:r>
      <w:proofErr w:type="spellStart"/>
      <w:r w:rsidRPr="003261E6">
        <w:rPr>
          <w:rFonts w:ascii="Times New Roman" w:hAnsi="Times New Roman" w:cs="Times New Roman"/>
          <w:sz w:val="20"/>
          <w:szCs w:val="20"/>
        </w:rPr>
        <w:t>lembaga</w:t>
      </w:r>
      <w:proofErr w:type="spellEnd"/>
      <w:r w:rsidRPr="003261E6">
        <w:rPr>
          <w:rFonts w:ascii="Times New Roman" w:hAnsi="Times New Roman" w:cs="Times New Roman"/>
          <w:sz w:val="20"/>
          <w:szCs w:val="20"/>
        </w:rPr>
        <w:t xml:space="preserve"> amil zakat. </w:t>
      </w:r>
      <w:proofErr w:type="spellStart"/>
      <w:r w:rsidRPr="003261E6">
        <w:rPr>
          <w:rFonts w:ascii="Times New Roman" w:hAnsi="Times New Roman" w:cs="Times New Roman"/>
          <w:sz w:val="20"/>
          <w:szCs w:val="20"/>
        </w:rPr>
        <w:t>Kompilasi</w:t>
      </w:r>
      <w:proofErr w:type="spellEnd"/>
      <w:r w:rsidRPr="003261E6">
        <w:rPr>
          <w:rFonts w:ascii="Times New Roman" w:hAnsi="Times New Roman" w:cs="Times New Roman"/>
          <w:sz w:val="20"/>
          <w:szCs w:val="20"/>
        </w:rPr>
        <w:t xml:space="preserve"> Fatwa </w:t>
      </w:r>
      <w:proofErr w:type="spellStart"/>
      <w:r w:rsidRPr="003261E6">
        <w:rPr>
          <w:rFonts w:ascii="Times New Roman" w:hAnsi="Times New Roman" w:cs="Times New Roman"/>
          <w:sz w:val="20"/>
          <w:szCs w:val="20"/>
        </w:rPr>
        <w:t>Keuangan</w:t>
      </w:r>
      <w:proofErr w:type="spellEnd"/>
      <w:r w:rsidRPr="003261E6">
        <w:rPr>
          <w:rFonts w:ascii="Times New Roman" w:hAnsi="Times New Roman" w:cs="Times New Roman"/>
          <w:sz w:val="20"/>
          <w:szCs w:val="20"/>
        </w:rPr>
        <w:t xml:space="preserve"> Syariah DSN-MUI, 512-523.</w:t>
      </w:r>
    </w:p>
    <w:p w14:paraId="7E995C6E" w14:textId="77777777" w:rsidR="00E73655" w:rsidRPr="003261E6" w:rsidRDefault="00E73655"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Harahap</w:t>
      </w:r>
      <w:proofErr w:type="spellEnd"/>
      <w:r w:rsidRPr="003261E6">
        <w:rPr>
          <w:rFonts w:ascii="Times New Roman" w:hAnsi="Times New Roman" w:cs="Times New Roman"/>
          <w:sz w:val="20"/>
          <w:szCs w:val="20"/>
        </w:rPr>
        <w:t xml:space="preserve">, S. A. R., Azmi, M. U., &amp; </w:t>
      </w:r>
      <w:proofErr w:type="spellStart"/>
      <w:r w:rsidRPr="003261E6">
        <w:rPr>
          <w:rFonts w:ascii="Times New Roman" w:hAnsi="Times New Roman" w:cs="Times New Roman"/>
          <w:sz w:val="20"/>
          <w:szCs w:val="20"/>
        </w:rPr>
        <w:t>Lahuri</w:t>
      </w:r>
      <w:proofErr w:type="spellEnd"/>
      <w:r w:rsidRPr="003261E6">
        <w:rPr>
          <w:rFonts w:ascii="Times New Roman" w:hAnsi="Times New Roman" w:cs="Times New Roman"/>
          <w:sz w:val="20"/>
          <w:szCs w:val="20"/>
        </w:rPr>
        <w:t xml:space="preserve">, S. bin. (2019). </w:t>
      </w:r>
      <w:r w:rsidRPr="003261E6">
        <w:rPr>
          <w:rFonts w:ascii="Times New Roman" w:hAnsi="Times New Roman" w:cs="Times New Roman"/>
          <w:i/>
          <w:iCs/>
          <w:sz w:val="20"/>
          <w:szCs w:val="20"/>
        </w:rPr>
        <w:t>Fiqh review on the use of sharia credit card based on Fatwa DSN-MUI No. 54/DSN-MUI/X/2006</w:t>
      </w:r>
      <w:r w:rsidRPr="003261E6">
        <w:rPr>
          <w:rFonts w:ascii="Times New Roman" w:hAnsi="Times New Roman" w:cs="Times New Roman"/>
          <w:sz w:val="20"/>
          <w:szCs w:val="20"/>
        </w:rPr>
        <w:t xml:space="preserve">. </w:t>
      </w:r>
      <w:r w:rsidRPr="00DC6BB6">
        <w:rPr>
          <w:rFonts w:ascii="Times New Roman" w:hAnsi="Times New Roman" w:cs="Times New Roman"/>
          <w:sz w:val="20"/>
          <w:szCs w:val="20"/>
        </w:rPr>
        <w:t>Al-</w:t>
      </w:r>
      <w:proofErr w:type="spellStart"/>
      <w:r w:rsidRPr="00DC6BB6">
        <w:rPr>
          <w:rFonts w:ascii="Times New Roman" w:hAnsi="Times New Roman" w:cs="Times New Roman"/>
          <w:sz w:val="20"/>
          <w:szCs w:val="20"/>
        </w:rPr>
        <w:t>Iktisab</w:t>
      </w:r>
      <w:proofErr w:type="spellEnd"/>
      <w:r w:rsidRPr="00DC6BB6">
        <w:rPr>
          <w:rFonts w:ascii="Times New Roman" w:hAnsi="Times New Roman" w:cs="Times New Roman"/>
          <w:sz w:val="20"/>
          <w:szCs w:val="20"/>
        </w:rPr>
        <w:t>: Journal of Islamic Economic Law</w:t>
      </w:r>
      <w:r w:rsidRPr="003261E6">
        <w:rPr>
          <w:rFonts w:ascii="Times New Roman" w:hAnsi="Times New Roman" w:cs="Times New Roman"/>
          <w:b/>
          <w:bCs/>
          <w:sz w:val="20"/>
          <w:szCs w:val="20"/>
        </w:rPr>
        <w:t xml:space="preserve">, </w:t>
      </w:r>
      <w:r w:rsidRPr="00DC6BB6">
        <w:rPr>
          <w:rFonts w:ascii="Times New Roman" w:hAnsi="Times New Roman" w:cs="Times New Roman"/>
          <w:sz w:val="20"/>
          <w:szCs w:val="20"/>
        </w:rPr>
        <w:t>3</w:t>
      </w:r>
      <w:r w:rsidRPr="003261E6">
        <w:rPr>
          <w:rFonts w:ascii="Times New Roman" w:hAnsi="Times New Roman" w:cs="Times New Roman"/>
          <w:sz w:val="20"/>
          <w:szCs w:val="20"/>
        </w:rPr>
        <w:t>(2), 145–156.</w:t>
      </w:r>
    </w:p>
    <w:p w14:paraId="54C21F19" w14:textId="59D940D7"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Huda, N., Rini, N., &amp; </w:t>
      </w:r>
      <w:proofErr w:type="spellStart"/>
      <w:r w:rsidRPr="003261E6">
        <w:rPr>
          <w:rFonts w:ascii="Times New Roman" w:hAnsi="Times New Roman" w:cs="Times New Roman"/>
          <w:sz w:val="20"/>
          <w:szCs w:val="20"/>
        </w:rPr>
        <w:t>Mardoni</w:t>
      </w:r>
      <w:proofErr w:type="spellEnd"/>
      <w:r w:rsidRPr="003261E6">
        <w:rPr>
          <w:rFonts w:ascii="Times New Roman" w:hAnsi="Times New Roman" w:cs="Times New Roman"/>
          <w:sz w:val="20"/>
          <w:szCs w:val="20"/>
        </w:rPr>
        <w:t>, Y. (2022). Digitalization of Islamic philanthropy: Opportunities and challenges in Indonesia. Journal of Islamic Monetary Economics and Finance, 8(2), 245-264.</w:t>
      </w:r>
    </w:p>
    <w:p w14:paraId="3CC3FB56" w14:textId="70A969F3" w:rsidR="0030299A" w:rsidRPr="003261E6" w:rsidRDefault="0030299A"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Kahfi</w:t>
      </w:r>
      <w:proofErr w:type="spellEnd"/>
      <w:r w:rsidRPr="003261E6">
        <w:rPr>
          <w:rFonts w:ascii="Times New Roman" w:hAnsi="Times New Roman" w:cs="Times New Roman"/>
          <w:sz w:val="20"/>
          <w:szCs w:val="20"/>
        </w:rPr>
        <w:t>, A. (2025). Transformation of QRIS-based charity boxes: Philanthropy in the digital age. Journal of Islamic Economics and Finance, 12(1), 78-96.</w:t>
      </w:r>
    </w:p>
    <w:p w14:paraId="71A967A9" w14:textId="0BCDC91F"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Latief, H. (2020). Islamic philanthropy and social development in contemporary Indonesia. Studia </w:t>
      </w:r>
      <w:proofErr w:type="spellStart"/>
      <w:r w:rsidRPr="003261E6">
        <w:rPr>
          <w:rFonts w:ascii="Times New Roman" w:hAnsi="Times New Roman" w:cs="Times New Roman"/>
          <w:sz w:val="20"/>
          <w:szCs w:val="20"/>
        </w:rPr>
        <w:t>Islamika</w:t>
      </w:r>
      <w:proofErr w:type="spellEnd"/>
      <w:r w:rsidRPr="003261E6">
        <w:rPr>
          <w:rFonts w:ascii="Times New Roman" w:hAnsi="Times New Roman" w:cs="Times New Roman"/>
          <w:sz w:val="20"/>
          <w:szCs w:val="20"/>
        </w:rPr>
        <w:t>, 27(1), 1-30.</w:t>
      </w:r>
    </w:p>
    <w:p w14:paraId="4C867255" w14:textId="262C47DE" w:rsidR="0030299A" w:rsidRPr="003261E6" w:rsidRDefault="0030299A"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Otoritas</w:t>
      </w:r>
      <w:proofErr w:type="spellEnd"/>
      <w:r w:rsidRPr="003261E6">
        <w:rPr>
          <w:rFonts w:ascii="Times New Roman" w:hAnsi="Times New Roman" w:cs="Times New Roman"/>
          <w:sz w:val="20"/>
          <w:szCs w:val="20"/>
        </w:rPr>
        <w:t xml:space="preserve"> Jasa Keuangan. (2022). </w:t>
      </w:r>
      <w:proofErr w:type="spellStart"/>
      <w:r w:rsidRPr="003261E6">
        <w:rPr>
          <w:rFonts w:ascii="Times New Roman" w:hAnsi="Times New Roman" w:cs="Times New Roman"/>
          <w:sz w:val="20"/>
          <w:szCs w:val="20"/>
        </w:rPr>
        <w:t>Regulasi</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sistem</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pembayaran</w:t>
      </w:r>
      <w:proofErr w:type="spellEnd"/>
      <w:r w:rsidRPr="003261E6">
        <w:rPr>
          <w:rFonts w:ascii="Times New Roman" w:hAnsi="Times New Roman" w:cs="Times New Roman"/>
          <w:sz w:val="20"/>
          <w:szCs w:val="20"/>
        </w:rPr>
        <w:t xml:space="preserve"> digital dan </w:t>
      </w:r>
      <w:proofErr w:type="spellStart"/>
      <w:r w:rsidRPr="003261E6">
        <w:rPr>
          <w:rFonts w:ascii="Times New Roman" w:hAnsi="Times New Roman" w:cs="Times New Roman"/>
          <w:sz w:val="20"/>
          <w:szCs w:val="20"/>
        </w:rPr>
        <w:t>kepatuhannya</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terhadap</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prinsip</w:t>
      </w:r>
      <w:proofErr w:type="spellEnd"/>
      <w:r w:rsidRPr="003261E6">
        <w:rPr>
          <w:rFonts w:ascii="Times New Roman" w:hAnsi="Times New Roman" w:cs="Times New Roman"/>
          <w:sz w:val="20"/>
          <w:szCs w:val="20"/>
        </w:rPr>
        <w:t xml:space="preserve"> syariah. Surat </w:t>
      </w:r>
      <w:proofErr w:type="spellStart"/>
      <w:r w:rsidRPr="003261E6">
        <w:rPr>
          <w:rFonts w:ascii="Times New Roman" w:hAnsi="Times New Roman" w:cs="Times New Roman"/>
          <w:sz w:val="20"/>
          <w:szCs w:val="20"/>
        </w:rPr>
        <w:t>Edaran</w:t>
      </w:r>
      <w:proofErr w:type="spellEnd"/>
      <w:r w:rsidRPr="003261E6">
        <w:rPr>
          <w:rFonts w:ascii="Times New Roman" w:hAnsi="Times New Roman" w:cs="Times New Roman"/>
          <w:sz w:val="20"/>
          <w:szCs w:val="20"/>
        </w:rPr>
        <w:t xml:space="preserve"> OJK No. 10/SEOJK.03/2022. Jakarta.</w:t>
      </w:r>
    </w:p>
    <w:p w14:paraId="289EDFEB" w14:textId="624C5A2C"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Rahman, M., Abdullah, Z., &amp; Hussin, N. (2024). </w:t>
      </w:r>
      <w:proofErr w:type="spellStart"/>
      <w:r w:rsidRPr="003261E6">
        <w:rPr>
          <w:rFonts w:ascii="Times New Roman" w:hAnsi="Times New Roman" w:cs="Times New Roman"/>
          <w:sz w:val="20"/>
          <w:szCs w:val="20"/>
        </w:rPr>
        <w:t>Pengaruh</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literasi</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keuangan</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persepsi</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kemudahan</w:t>
      </w:r>
      <w:proofErr w:type="spellEnd"/>
      <w:r w:rsidRPr="003261E6">
        <w:rPr>
          <w:rFonts w:ascii="Times New Roman" w:hAnsi="Times New Roman" w:cs="Times New Roman"/>
          <w:sz w:val="20"/>
          <w:szCs w:val="20"/>
        </w:rPr>
        <w:t xml:space="preserve">, dan </w:t>
      </w:r>
      <w:proofErr w:type="spellStart"/>
      <w:r w:rsidRPr="003261E6">
        <w:rPr>
          <w:rFonts w:ascii="Times New Roman" w:hAnsi="Times New Roman" w:cs="Times New Roman"/>
          <w:sz w:val="20"/>
          <w:szCs w:val="20"/>
        </w:rPr>
        <w:t>persepsi</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manfaat</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terhadap</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minat</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berdonasi</w:t>
      </w:r>
      <w:proofErr w:type="spellEnd"/>
      <w:r w:rsidRPr="003261E6">
        <w:rPr>
          <w:rFonts w:ascii="Times New Roman" w:hAnsi="Times New Roman" w:cs="Times New Roman"/>
          <w:sz w:val="20"/>
          <w:szCs w:val="20"/>
        </w:rPr>
        <w:t xml:space="preserve"> di masjid </w:t>
      </w:r>
      <w:proofErr w:type="spellStart"/>
      <w:r w:rsidRPr="003261E6">
        <w:rPr>
          <w:rFonts w:ascii="Times New Roman" w:hAnsi="Times New Roman" w:cs="Times New Roman"/>
          <w:sz w:val="20"/>
          <w:szCs w:val="20"/>
        </w:rPr>
        <w:t>menggunakan</w:t>
      </w:r>
      <w:proofErr w:type="spellEnd"/>
      <w:r w:rsidRPr="003261E6">
        <w:rPr>
          <w:rFonts w:ascii="Times New Roman" w:hAnsi="Times New Roman" w:cs="Times New Roman"/>
          <w:sz w:val="20"/>
          <w:szCs w:val="20"/>
        </w:rPr>
        <w:t xml:space="preserve"> QRIS. Al-Qalam: Journal of Islamic Finance and Banking, 14(1), 45-62.</w:t>
      </w:r>
    </w:p>
    <w:p w14:paraId="2C12A894" w14:textId="65ED791E"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 xml:space="preserve">Rahman, S. (2024). </w:t>
      </w:r>
      <w:proofErr w:type="spellStart"/>
      <w:r w:rsidRPr="003261E6">
        <w:rPr>
          <w:rFonts w:ascii="Times New Roman" w:hAnsi="Times New Roman" w:cs="Times New Roman"/>
          <w:sz w:val="20"/>
          <w:szCs w:val="20"/>
        </w:rPr>
        <w:t>Implementasi</w:t>
      </w:r>
      <w:proofErr w:type="spellEnd"/>
      <w:r w:rsidRPr="003261E6">
        <w:rPr>
          <w:rFonts w:ascii="Times New Roman" w:hAnsi="Times New Roman" w:cs="Times New Roman"/>
          <w:sz w:val="20"/>
          <w:szCs w:val="20"/>
        </w:rPr>
        <w:t xml:space="preserve"> QRIS </w:t>
      </w:r>
      <w:proofErr w:type="spellStart"/>
      <w:r w:rsidRPr="003261E6">
        <w:rPr>
          <w:rFonts w:ascii="Times New Roman" w:hAnsi="Times New Roman" w:cs="Times New Roman"/>
          <w:sz w:val="20"/>
          <w:szCs w:val="20"/>
        </w:rPr>
        <w:t>untuk</w:t>
      </w:r>
      <w:proofErr w:type="spellEnd"/>
      <w:r w:rsidRPr="003261E6">
        <w:rPr>
          <w:rFonts w:ascii="Times New Roman" w:hAnsi="Times New Roman" w:cs="Times New Roman"/>
          <w:sz w:val="20"/>
          <w:szCs w:val="20"/>
        </w:rPr>
        <w:t xml:space="preserve"> </w:t>
      </w:r>
      <w:proofErr w:type="spellStart"/>
      <w:r w:rsidRPr="003261E6">
        <w:rPr>
          <w:rFonts w:ascii="Times New Roman" w:hAnsi="Times New Roman" w:cs="Times New Roman"/>
          <w:sz w:val="20"/>
          <w:szCs w:val="20"/>
        </w:rPr>
        <w:t>pengumpulan</w:t>
      </w:r>
      <w:proofErr w:type="spellEnd"/>
      <w:r w:rsidRPr="003261E6">
        <w:rPr>
          <w:rFonts w:ascii="Times New Roman" w:hAnsi="Times New Roman" w:cs="Times New Roman"/>
          <w:sz w:val="20"/>
          <w:szCs w:val="20"/>
        </w:rPr>
        <w:t xml:space="preserve"> ZIS di masjid </w:t>
      </w:r>
      <w:proofErr w:type="spellStart"/>
      <w:r w:rsidRPr="003261E6">
        <w:rPr>
          <w:rFonts w:ascii="Times New Roman" w:hAnsi="Times New Roman" w:cs="Times New Roman"/>
          <w:sz w:val="20"/>
          <w:szCs w:val="20"/>
        </w:rPr>
        <w:t>kota</w:t>
      </w:r>
      <w:proofErr w:type="spellEnd"/>
      <w:r w:rsidRPr="003261E6">
        <w:rPr>
          <w:rFonts w:ascii="Times New Roman" w:hAnsi="Times New Roman" w:cs="Times New Roman"/>
          <w:sz w:val="20"/>
          <w:szCs w:val="20"/>
        </w:rPr>
        <w:t xml:space="preserve"> Gorontalo. Journal of Islamic Finance and Banking, 8(2), 112-134.</w:t>
      </w:r>
    </w:p>
    <w:p w14:paraId="34ED3C49" w14:textId="041088C4" w:rsidR="0030299A" w:rsidRPr="003261E6" w:rsidRDefault="0030299A" w:rsidP="003261E6">
      <w:pPr>
        <w:spacing w:line="240" w:lineRule="auto"/>
        <w:ind w:left="709" w:hanging="709"/>
        <w:jc w:val="both"/>
        <w:rPr>
          <w:rFonts w:ascii="Times New Roman" w:hAnsi="Times New Roman" w:cs="Times New Roman"/>
          <w:sz w:val="20"/>
          <w:szCs w:val="20"/>
        </w:rPr>
      </w:pPr>
      <w:r w:rsidRPr="003261E6">
        <w:rPr>
          <w:rFonts w:ascii="Times New Roman" w:hAnsi="Times New Roman" w:cs="Times New Roman"/>
          <w:sz w:val="20"/>
          <w:szCs w:val="20"/>
        </w:rPr>
        <w:t>Young Muslim Generation Digital Payment Study. (2024). Young Muslim generation's preferences for using digital platforms for zakat payments: A cross-country study of Indonesia and Malaysia. International Journal of Islamic Banking and Finance, 12(2), 76-95.</w:t>
      </w:r>
    </w:p>
    <w:p w14:paraId="1070E3D3" w14:textId="317DD0A9" w:rsidR="00226129" w:rsidRPr="003261E6" w:rsidRDefault="0030299A" w:rsidP="003261E6">
      <w:pPr>
        <w:spacing w:line="240" w:lineRule="auto"/>
        <w:ind w:left="709" w:hanging="709"/>
        <w:jc w:val="both"/>
        <w:rPr>
          <w:rFonts w:ascii="Times New Roman" w:hAnsi="Times New Roman" w:cs="Times New Roman"/>
          <w:sz w:val="20"/>
          <w:szCs w:val="20"/>
        </w:rPr>
      </w:pPr>
      <w:proofErr w:type="spellStart"/>
      <w:r w:rsidRPr="003261E6">
        <w:rPr>
          <w:rFonts w:ascii="Times New Roman" w:hAnsi="Times New Roman" w:cs="Times New Roman"/>
          <w:sz w:val="20"/>
          <w:szCs w:val="20"/>
        </w:rPr>
        <w:t>Ziswaf</w:t>
      </w:r>
      <w:proofErr w:type="spellEnd"/>
      <w:r w:rsidRPr="003261E6">
        <w:rPr>
          <w:rFonts w:ascii="Times New Roman" w:hAnsi="Times New Roman" w:cs="Times New Roman"/>
          <w:sz w:val="20"/>
          <w:szCs w:val="20"/>
        </w:rPr>
        <w:t xml:space="preserve"> Payment Motivation Study. (2022). Community motivation for selecting zakat, </w:t>
      </w:r>
      <w:proofErr w:type="spellStart"/>
      <w:r w:rsidRPr="003261E6">
        <w:rPr>
          <w:rFonts w:ascii="Times New Roman" w:hAnsi="Times New Roman" w:cs="Times New Roman"/>
          <w:sz w:val="20"/>
          <w:szCs w:val="20"/>
        </w:rPr>
        <w:t>infaq</w:t>
      </w:r>
      <w:proofErr w:type="spellEnd"/>
      <w:r w:rsidRPr="003261E6">
        <w:rPr>
          <w:rFonts w:ascii="Times New Roman" w:hAnsi="Times New Roman" w:cs="Times New Roman"/>
          <w:sz w:val="20"/>
          <w:szCs w:val="20"/>
        </w:rPr>
        <w:t xml:space="preserve">, and </w:t>
      </w:r>
      <w:proofErr w:type="spellStart"/>
      <w:r w:rsidRPr="003261E6">
        <w:rPr>
          <w:rFonts w:ascii="Times New Roman" w:hAnsi="Times New Roman" w:cs="Times New Roman"/>
          <w:sz w:val="20"/>
          <w:szCs w:val="20"/>
        </w:rPr>
        <w:t>sadaqah</w:t>
      </w:r>
      <w:proofErr w:type="spellEnd"/>
      <w:r w:rsidRPr="003261E6">
        <w:rPr>
          <w:rFonts w:ascii="Times New Roman" w:hAnsi="Times New Roman" w:cs="Times New Roman"/>
          <w:sz w:val="20"/>
          <w:szCs w:val="20"/>
        </w:rPr>
        <w:t xml:space="preserve"> payment methods using fintech platform. Journal of Islamic Charitable Giving, 7(2), 89-108.</w:t>
      </w:r>
    </w:p>
    <w:p w14:paraId="5B07B030" w14:textId="77777777" w:rsidR="00550304" w:rsidRPr="00E94D47" w:rsidRDefault="00550304" w:rsidP="00E94D47">
      <w:pPr>
        <w:spacing w:after="210" w:line="240" w:lineRule="auto"/>
        <w:ind w:left="284" w:hanging="284"/>
        <w:rPr>
          <w:rFonts w:ascii="Times New Roman" w:hAnsi="Times New Roman" w:cs="Times New Roman"/>
        </w:rPr>
      </w:pPr>
    </w:p>
    <w:p w14:paraId="60B2C7B2" w14:textId="77777777" w:rsidR="00550304" w:rsidRPr="00E94D47" w:rsidRDefault="00550304" w:rsidP="00E94D47">
      <w:pPr>
        <w:spacing w:after="210" w:line="240" w:lineRule="auto"/>
        <w:ind w:left="284" w:hanging="284"/>
        <w:rPr>
          <w:rFonts w:ascii="Times New Roman" w:hAnsi="Times New Roman" w:cs="Times New Roman"/>
        </w:rPr>
      </w:pPr>
    </w:p>
    <w:p w14:paraId="59383113" w14:textId="77777777" w:rsidR="00550304" w:rsidRPr="00E94D47" w:rsidRDefault="00550304" w:rsidP="00E94D47">
      <w:pPr>
        <w:spacing w:after="210" w:line="240" w:lineRule="auto"/>
        <w:ind w:left="284" w:hanging="284"/>
        <w:rPr>
          <w:rFonts w:ascii="Times New Roman" w:hAnsi="Times New Roman" w:cs="Times New Roman"/>
        </w:rPr>
      </w:pPr>
    </w:p>
    <w:p w14:paraId="5C5DD027" w14:textId="77777777" w:rsidR="00550304" w:rsidRPr="00E94D47" w:rsidRDefault="00550304" w:rsidP="00E94D47">
      <w:pPr>
        <w:spacing w:after="210" w:line="240" w:lineRule="auto"/>
        <w:ind w:left="284" w:hanging="284"/>
        <w:rPr>
          <w:rFonts w:ascii="Times New Roman" w:hAnsi="Times New Roman" w:cs="Times New Roman"/>
        </w:rPr>
      </w:pPr>
    </w:p>
    <w:p w14:paraId="2FA73676" w14:textId="77777777" w:rsidR="00550304" w:rsidRPr="00E94D47" w:rsidRDefault="00550304" w:rsidP="00E94D47">
      <w:pPr>
        <w:spacing w:after="210" w:line="240" w:lineRule="auto"/>
        <w:ind w:left="284" w:hanging="284"/>
        <w:rPr>
          <w:rFonts w:ascii="Times New Roman" w:hAnsi="Times New Roman" w:cs="Times New Roman"/>
        </w:rPr>
      </w:pPr>
    </w:p>
    <w:p w14:paraId="33E77474" w14:textId="77777777" w:rsidR="00550304" w:rsidRPr="00E94D47" w:rsidRDefault="00550304" w:rsidP="00E94D47">
      <w:pPr>
        <w:spacing w:after="210" w:line="240" w:lineRule="auto"/>
        <w:rPr>
          <w:rFonts w:ascii="Times New Roman" w:hAnsi="Times New Roman" w:cs="Times New Roman"/>
        </w:rPr>
      </w:pPr>
    </w:p>
    <w:sectPr w:rsidR="00550304" w:rsidRPr="00E94D47" w:rsidSect="00E94D47">
      <w:headerReference w:type="default" r:id="rId7"/>
      <w:footerReference w:type="default" r:id="rId8"/>
      <w:pgSz w:w="11900" w:h="16840"/>
      <w:pgMar w:top="1580" w:right="1680" w:bottom="280" w:left="1680" w:header="720" w:footer="720" w:gutter="0"/>
      <w:pgNumType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E229" w14:textId="77777777" w:rsidR="00ED295E" w:rsidRDefault="00ED295E">
      <w:pPr>
        <w:spacing w:line="240" w:lineRule="auto"/>
      </w:pPr>
      <w:r>
        <w:separator/>
      </w:r>
    </w:p>
  </w:endnote>
  <w:endnote w:type="continuationSeparator" w:id="0">
    <w:p w14:paraId="3C751544" w14:textId="77777777" w:rsidR="00ED295E" w:rsidRDefault="00ED2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905263"/>
      <w:docPartObj>
        <w:docPartGallery w:val="Page Numbers (Bottom of Page)"/>
        <w:docPartUnique/>
      </w:docPartObj>
    </w:sdtPr>
    <w:sdtEndPr>
      <w:rPr>
        <w:rFonts w:ascii="Times New Roman" w:hAnsi="Times New Roman"/>
        <w:noProof/>
        <w:sz w:val="20"/>
        <w:szCs w:val="20"/>
      </w:rPr>
    </w:sdtEndPr>
    <w:sdtContent>
      <w:p w14:paraId="60F92CA7" w14:textId="77777777" w:rsidR="00E94D47" w:rsidRPr="005027F9" w:rsidRDefault="00E94D47" w:rsidP="00E94D47">
        <w:pPr>
          <w:pStyle w:val="Footer"/>
          <w:jc w:val="righ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0C7E6206" wp14:editId="6783287D">
                  <wp:simplePos x="0" y="0"/>
                  <wp:positionH relativeFrom="column">
                    <wp:posOffset>-88790</wp:posOffset>
                  </wp:positionH>
                  <wp:positionV relativeFrom="paragraph">
                    <wp:posOffset>-13942</wp:posOffset>
                  </wp:positionV>
                  <wp:extent cx="3546282" cy="445273"/>
                  <wp:effectExtent l="0" t="0" r="0" b="0"/>
                  <wp:wrapNone/>
                  <wp:docPr id="427993245" name="Text Box 1"/>
                  <wp:cNvGraphicFramePr/>
                  <a:graphic xmlns:a="http://schemas.openxmlformats.org/drawingml/2006/main">
                    <a:graphicData uri="http://schemas.microsoft.com/office/word/2010/wordprocessingShape">
                      <wps:wsp>
                        <wps:cNvSpPr txBox="1"/>
                        <wps:spPr>
                          <a:xfrm>
                            <a:off x="0" y="0"/>
                            <a:ext cx="3546282" cy="445273"/>
                          </a:xfrm>
                          <a:prstGeom prst="rect">
                            <a:avLst/>
                          </a:prstGeom>
                          <a:noFill/>
                          <a:ln w="6350">
                            <a:noFill/>
                          </a:ln>
                        </wps:spPr>
                        <wps:txbx>
                          <w:txbxContent>
                            <w:p w14:paraId="0A9CB8CA" w14:textId="0A88EE70" w:rsidR="00E94D47" w:rsidRPr="00033626" w:rsidRDefault="00E94D47" w:rsidP="00E94D47">
                              <w:pPr>
                                <w:spacing w:line="240" w:lineRule="auto"/>
                                <w:ind w:right="360"/>
                                <w:rPr>
                                  <w:rFonts w:ascii="Times New Roman" w:eastAsia="Times New Roman" w:hAnsi="Times New Roman"/>
                                  <w:sz w:val="18"/>
                                  <w:szCs w:val="18"/>
                                </w:rPr>
                              </w:pPr>
                              <w:r w:rsidRPr="0047652D">
                                <w:rPr>
                                  <w:rFonts w:ascii="Times New Roman" w:eastAsia="Times New Roman" w:hAnsi="Times New Roman"/>
                                  <w:sz w:val="18"/>
                                  <w:szCs w:val="18"/>
                                  <w:vertAlign w:val="superscript"/>
                                </w:rPr>
                                <w:t>*</w:t>
                              </w:r>
                              <w:r>
                                <w:rPr>
                                  <w:rFonts w:ascii="Times New Roman" w:eastAsia="Times New Roman" w:hAnsi="Times New Roman"/>
                                  <w:sz w:val="18"/>
                                  <w:szCs w:val="18"/>
                                </w:rPr>
                                <w:t xml:space="preserve">Corresponding Author: </w:t>
                              </w:r>
                              <w:r w:rsidRPr="00E94D47">
                                <w:rPr>
                                  <w:rFonts w:ascii="Times New Roman" w:eastAsia="Times New Roman" w:hAnsi="Times New Roman"/>
                                  <w:sz w:val="18"/>
                                  <w:szCs w:val="18"/>
                                </w:rPr>
                                <w:t>dwi.setyo1@students.paramadina.ac.id</w:t>
                              </w:r>
                            </w:p>
                            <w:p w14:paraId="3969CFA9" w14:textId="77777777" w:rsidR="00E94D47" w:rsidRDefault="00E94D47" w:rsidP="00E94D47">
                              <w:pPr>
                                <w:spacing w:line="240" w:lineRule="auto"/>
                                <w:rPr>
                                  <w:rFonts w:ascii="Times New Roman" w:eastAsia="Times New Roman" w:hAnsi="Times New Roman"/>
                                  <w:sz w:val="18"/>
                                  <w:szCs w:val="18"/>
                                </w:rPr>
                              </w:pPr>
                              <w:r>
                                <w:rPr>
                                  <w:rFonts w:ascii="Times New Roman" w:eastAsia="Times New Roman" w:hAnsi="Times New Roman"/>
                                  <w:sz w:val="18"/>
                                  <w:szCs w:val="18"/>
                                </w:rPr>
                                <w:t>© 2026</w:t>
                              </w:r>
                              <w:r>
                                <w:rPr>
                                  <w:rFonts w:ascii="Times New Roman" w:eastAsia="Times New Roman" w:hAnsi="Times New Roman"/>
                                  <w:i/>
                                  <w:sz w:val="18"/>
                                  <w:szCs w:val="18"/>
                                </w:rPr>
                                <w:t xml:space="preserve"> </w:t>
                              </w:r>
                              <w:r>
                                <w:rPr>
                                  <w:rFonts w:ascii="Times New Roman" w:eastAsia="Times New Roman" w:hAnsi="Times New Roman"/>
                                  <w:sz w:val="18"/>
                                  <w:szCs w:val="18"/>
                                </w:rPr>
                                <w:t xml:space="preserve">Universitas </w:t>
                              </w:r>
                              <w:proofErr w:type="spellStart"/>
                              <w:r>
                                <w:rPr>
                                  <w:rFonts w:ascii="Times New Roman" w:eastAsia="Times New Roman" w:hAnsi="Times New Roman"/>
                                  <w:sz w:val="18"/>
                                  <w:szCs w:val="18"/>
                                </w:rPr>
                                <w:t>Paramadina</w:t>
                              </w:r>
                              <w:proofErr w:type="spellEnd"/>
                            </w:p>
                            <w:p w14:paraId="2B505BAA" w14:textId="77777777" w:rsidR="00E94D47" w:rsidRDefault="00E94D47" w:rsidP="00E94D47">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7E6206" id="_x0000_t202" coordsize="21600,21600" o:spt="202" path="m,l,21600r21600,l21600,xe">
                  <v:stroke joinstyle="miter"/>
                  <v:path gradientshapeok="t" o:connecttype="rect"/>
                </v:shapetype>
                <v:shape id="Text Box 1" o:spid="_x0000_s1026" type="#_x0000_t202" style="position:absolute;left:0;text-align:left;margin-left:-7pt;margin-top:-1.1pt;width:279.25pt;height:3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" filled="f" stroked="f" strokeweight=".5pt">
                  <v:textbox>
                    <w:txbxContent>
                      <w:p w14:paraId="0A9CB8CA" w14:textId="0A88EE70" w:rsidR="00E94D47" w:rsidRPr="00033626" w:rsidRDefault="00E94D47" w:rsidP="00E94D47">
                        <w:pPr>
                          <w:spacing w:line="240" w:lineRule="auto"/>
                          <w:ind w:right="360"/>
                          <w:rPr>
                            <w:rFonts w:ascii="Times New Roman" w:eastAsia="Times New Roman" w:hAnsi="Times New Roman"/>
                            <w:sz w:val="18"/>
                            <w:szCs w:val="18"/>
                          </w:rPr>
                        </w:pPr>
                        <w:r w:rsidRPr="0047652D">
                          <w:rPr>
                            <w:rFonts w:ascii="Times New Roman" w:eastAsia="Times New Roman" w:hAnsi="Times New Roman"/>
                            <w:sz w:val="18"/>
                            <w:szCs w:val="18"/>
                            <w:vertAlign w:val="superscript"/>
                          </w:rPr>
                          <w:t>*</w:t>
                        </w:r>
                        <w:r>
                          <w:rPr>
                            <w:rFonts w:ascii="Times New Roman" w:eastAsia="Times New Roman" w:hAnsi="Times New Roman"/>
                            <w:sz w:val="18"/>
                            <w:szCs w:val="18"/>
                          </w:rPr>
                          <w:t xml:space="preserve">Corresponding Author: </w:t>
                        </w:r>
                        <w:r w:rsidRPr="00E94D47">
                          <w:rPr>
                            <w:rFonts w:ascii="Times New Roman" w:eastAsia="Times New Roman" w:hAnsi="Times New Roman"/>
                            <w:sz w:val="18"/>
                            <w:szCs w:val="18"/>
                          </w:rPr>
                          <w:t>dwi.setyo1@students.paramadina.ac.id</w:t>
                        </w:r>
                      </w:p>
                      <w:p w14:paraId="3969CFA9" w14:textId="77777777" w:rsidR="00E94D47" w:rsidRDefault="00E94D47" w:rsidP="00E94D47">
                        <w:pPr>
                          <w:spacing w:line="240" w:lineRule="auto"/>
                          <w:rPr>
                            <w:rFonts w:ascii="Times New Roman" w:eastAsia="Times New Roman" w:hAnsi="Times New Roman"/>
                            <w:sz w:val="18"/>
                            <w:szCs w:val="18"/>
                          </w:rPr>
                        </w:pPr>
                        <w:r>
                          <w:rPr>
                            <w:rFonts w:ascii="Times New Roman" w:eastAsia="Times New Roman" w:hAnsi="Times New Roman"/>
                            <w:sz w:val="18"/>
                            <w:szCs w:val="18"/>
                          </w:rPr>
                          <w:t>© 2026</w:t>
                        </w:r>
                        <w:r>
                          <w:rPr>
                            <w:rFonts w:ascii="Times New Roman" w:eastAsia="Times New Roman" w:hAnsi="Times New Roman"/>
                            <w:i/>
                            <w:sz w:val="18"/>
                            <w:szCs w:val="18"/>
                          </w:rPr>
                          <w:t xml:space="preserve"> </w:t>
                        </w:r>
                        <w:r>
                          <w:rPr>
                            <w:rFonts w:ascii="Times New Roman" w:eastAsia="Times New Roman" w:hAnsi="Times New Roman"/>
                            <w:sz w:val="18"/>
                            <w:szCs w:val="18"/>
                          </w:rPr>
                          <w:t xml:space="preserve">Universitas </w:t>
                        </w:r>
                        <w:proofErr w:type="spellStart"/>
                        <w:r>
                          <w:rPr>
                            <w:rFonts w:ascii="Times New Roman" w:eastAsia="Times New Roman" w:hAnsi="Times New Roman"/>
                            <w:sz w:val="18"/>
                            <w:szCs w:val="18"/>
                          </w:rPr>
                          <w:t>Paramadina</w:t>
                        </w:r>
                        <w:proofErr w:type="spellEnd"/>
                      </w:p>
                      <w:p w14:paraId="2B505BAA" w14:textId="77777777" w:rsidR="00E94D47" w:rsidRDefault="00E94D47" w:rsidP="00E94D47">
                        <w:pPr>
                          <w:spacing w:line="240" w:lineRule="auto"/>
                        </w:pPr>
                      </w:p>
                    </w:txbxContent>
                  </v:textbox>
                </v:shape>
              </w:pict>
            </mc:Fallback>
          </mc:AlternateContent>
        </w:r>
        <w:r w:rsidRPr="005027F9">
          <w:rPr>
            <w:rFonts w:ascii="Times New Roman" w:hAnsi="Times New Roman"/>
            <w:sz w:val="20"/>
            <w:szCs w:val="20"/>
          </w:rPr>
          <w:fldChar w:fldCharType="begin"/>
        </w:r>
        <w:r w:rsidRPr="005027F9">
          <w:rPr>
            <w:rFonts w:ascii="Times New Roman" w:hAnsi="Times New Roman"/>
            <w:sz w:val="20"/>
            <w:szCs w:val="20"/>
          </w:rPr>
          <w:instrText xml:space="preserve"> PAGE   \* MERGEFORMAT </w:instrText>
        </w:r>
        <w:r w:rsidRPr="005027F9">
          <w:rPr>
            <w:rFonts w:ascii="Times New Roman" w:hAnsi="Times New Roman"/>
            <w:sz w:val="20"/>
            <w:szCs w:val="20"/>
          </w:rPr>
          <w:fldChar w:fldCharType="separate"/>
        </w:r>
        <w:r>
          <w:rPr>
            <w:rFonts w:ascii="Times New Roman" w:hAnsi="Times New Roman"/>
            <w:sz w:val="20"/>
            <w:szCs w:val="20"/>
          </w:rPr>
          <w:t>39</w:t>
        </w:r>
        <w:r w:rsidRPr="005027F9">
          <w:rPr>
            <w:rFonts w:ascii="Times New Roman" w:hAnsi="Times New Roman"/>
            <w:noProof/>
            <w:sz w:val="20"/>
            <w:szCs w:val="20"/>
          </w:rPr>
          <w:fldChar w:fldCharType="end"/>
        </w:r>
      </w:p>
    </w:sdtContent>
  </w:sdt>
  <w:p w14:paraId="5232E067" w14:textId="77777777" w:rsidR="00E94D47" w:rsidRDefault="00E94D47" w:rsidP="00E94D47">
    <w:pPr>
      <w:spacing w:line="240" w:lineRule="auto"/>
    </w:pPr>
  </w:p>
  <w:p w14:paraId="04D7B22D" w14:textId="77777777" w:rsidR="00E94D47" w:rsidRPr="00F14AB7" w:rsidRDefault="00E94D47" w:rsidP="00E94D47">
    <w:pPr>
      <w:pStyle w:val="Footer"/>
    </w:pPr>
  </w:p>
  <w:p w14:paraId="61DB2B42" w14:textId="77777777" w:rsidR="00E94D47" w:rsidRPr="00567BAB" w:rsidRDefault="00E94D47" w:rsidP="00E94D47">
    <w:pPr>
      <w:pStyle w:val="Footer"/>
    </w:pPr>
  </w:p>
  <w:p w14:paraId="301764AF" w14:textId="77777777" w:rsidR="00E94D47" w:rsidRPr="00005812" w:rsidRDefault="00E94D47" w:rsidP="00E94D47">
    <w:pPr>
      <w:pStyle w:val="Footer"/>
    </w:pPr>
  </w:p>
  <w:p w14:paraId="6A674A34" w14:textId="77777777" w:rsidR="001F0B4A" w:rsidRPr="00E94D47" w:rsidRDefault="001F0B4A" w:rsidP="00E9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B10C" w14:textId="77777777" w:rsidR="00ED295E" w:rsidRDefault="00ED295E">
      <w:pPr>
        <w:spacing w:line="240" w:lineRule="auto"/>
      </w:pPr>
      <w:r>
        <w:separator/>
      </w:r>
    </w:p>
  </w:footnote>
  <w:footnote w:type="continuationSeparator" w:id="0">
    <w:p w14:paraId="2AA68853" w14:textId="77777777" w:rsidR="00ED295E" w:rsidRDefault="00ED29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863D" w14:textId="77777777" w:rsidR="00E94D47" w:rsidRDefault="00E94D47" w:rsidP="00E94D47">
    <w:pPr>
      <w:pStyle w:val="Header"/>
      <w:rPr>
        <w:rFonts w:ascii="Times New Roman" w:hAnsi="Times New Roman"/>
        <w:lang w:val="en-ID"/>
      </w:rPr>
    </w:pP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Manajemen</w:t>
    </w:r>
    <w:proofErr w:type="spellEnd"/>
    <w:r>
      <w:rPr>
        <w:rFonts w:ascii="Times New Roman" w:hAnsi="Times New Roman"/>
      </w:rPr>
      <w:t xml:space="preserve"> dan </w:t>
    </w:r>
    <w:proofErr w:type="spellStart"/>
    <w:r>
      <w:rPr>
        <w:rFonts w:ascii="Times New Roman" w:hAnsi="Times New Roman"/>
      </w:rPr>
      <w:t>Bisnis</w:t>
    </w:r>
    <w:proofErr w:type="spellEnd"/>
    <w:r>
      <w:rPr>
        <w:rFonts w:ascii="Times New Roman" w:hAnsi="Times New Roman"/>
      </w:rPr>
      <w:t xml:space="preserve"> Madani</w:t>
    </w:r>
  </w:p>
  <w:p w14:paraId="133CA3C3" w14:textId="485D88BD" w:rsidR="00E94D47" w:rsidRDefault="00E94D47" w:rsidP="00E94D47">
    <w:pPr>
      <w:pStyle w:val="Header"/>
      <w:rPr>
        <w:rFonts w:ascii="Times New Roman" w:hAnsi="Times New Roman"/>
      </w:rPr>
    </w:pPr>
    <w:r>
      <w:rPr>
        <w:rFonts w:ascii="Times New Roman" w:hAnsi="Times New Roman"/>
      </w:rPr>
      <w:t>Vol. 8, No. 1, PP. 51-</w:t>
    </w:r>
    <w:r w:rsidR="003261E6">
      <w:rPr>
        <w:rFonts w:ascii="Times New Roman" w:hAnsi="Times New Roman"/>
      </w:rPr>
      <w:t>67</w:t>
    </w:r>
  </w:p>
  <w:p w14:paraId="18631BE7" w14:textId="77777777" w:rsidR="00E94D47" w:rsidRPr="009F1DF4" w:rsidRDefault="00E94D47" w:rsidP="00E94D47">
    <w:pPr>
      <w:pBdr>
        <w:top w:val="nil"/>
        <w:left w:val="nil"/>
        <w:bottom w:val="nil"/>
        <w:right w:val="nil"/>
        <w:between w:val="nil"/>
      </w:pBdr>
      <w:tabs>
        <w:tab w:val="center" w:pos="4513"/>
        <w:tab w:val="right" w:pos="9026"/>
      </w:tabs>
      <w:spacing w:line="240" w:lineRule="auto"/>
      <w:rPr>
        <w:rFonts w:ascii="Times New Roman" w:eastAsia="Times New Roman" w:hAnsi="Times New Roman"/>
        <w:color w:val="000000"/>
      </w:rPr>
    </w:pPr>
    <w:r>
      <w:rPr>
        <w:rFonts w:ascii="Times New Roman" w:eastAsia="Times New Roman" w:hAnsi="Times New Roman"/>
        <w:color w:val="000000"/>
      </w:rPr>
      <w:t>https://journal.paramadina.ac.id/</w:t>
    </w:r>
  </w:p>
  <w:p w14:paraId="70E2BC55" w14:textId="72916772" w:rsidR="001F0B4A" w:rsidRPr="00E94D47" w:rsidRDefault="001F0B4A" w:rsidP="00E9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1D1F"/>
    <w:multiLevelType w:val="hybridMultilevel"/>
    <w:tmpl w:val="C1ECF398"/>
    <w:lvl w:ilvl="0" w:tplc="A8D8FA46">
      <w:start w:val="5"/>
      <w:numFmt w:val="decimal"/>
      <w:lvlText w:val="%1."/>
      <w:lvlJc w:val="left"/>
      <w:pPr>
        <w:tabs>
          <w:tab w:val="num" w:pos="1080"/>
        </w:tabs>
        <w:ind w:left="720" w:hanging="360"/>
      </w:pPr>
    </w:lvl>
    <w:lvl w:ilvl="1" w:tplc="E552405C">
      <w:numFmt w:val="decimal"/>
      <w:lvlText w:val=""/>
      <w:lvlJc w:val="left"/>
    </w:lvl>
    <w:lvl w:ilvl="2" w:tplc="6C348456">
      <w:numFmt w:val="decimal"/>
      <w:lvlText w:val=""/>
      <w:lvlJc w:val="left"/>
    </w:lvl>
    <w:lvl w:ilvl="3" w:tplc="5D2E15E2">
      <w:numFmt w:val="decimal"/>
      <w:lvlText w:val=""/>
      <w:lvlJc w:val="left"/>
    </w:lvl>
    <w:lvl w:ilvl="4" w:tplc="CB786A20">
      <w:numFmt w:val="decimal"/>
      <w:lvlText w:val=""/>
      <w:lvlJc w:val="left"/>
    </w:lvl>
    <w:lvl w:ilvl="5" w:tplc="E708BC3C">
      <w:numFmt w:val="decimal"/>
      <w:lvlText w:val=""/>
      <w:lvlJc w:val="left"/>
    </w:lvl>
    <w:lvl w:ilvl="6" w:tplc="EAA8DE8C">
      <w:numFmt w:val="decimal"/>
      <w:lvlText w:val=""/>
      <w:lvlJc w:val="left"/>
    </w:lvl>
    <w:lvl w:ilvl="7" w:tplc="2F9CD40A">
      <w:numFmt w:val="decimal"/>
      <w:lvlText w:val=""/>
      <w:lvlJc w:val="left"/>
    </w:lvl>
    <w:lvl w:ilvl="8" w:tplc="1CF678B2">
      <w:numFmt w:val="decimal"/>
      <w:lvlText w:val=""/>
      <w:lvlJc w:val="left"/>
    </w:lvl>
  </w:abstractNum>
  <w:abstractNum w:abstractNumId="1" w15:restartNumberingAfterBreak="0">
    <w:nsid w:val="20CA2E08"/>
    <w:multiLevelType w:val="hybridMultilevel"/>
    <w:tmpl w:val="2B468DE8"/>
    <w:lvl w:ilvl="0" w:tplc="AA147448">
      <w:start w:val="13"/>
      <w:numFmt w:val="decimal"/>
      <w:lvlText w:val="%1."/>
      <w:lvlJc w:val="left"/>
      <w:pPr>
        <w:tabs>
          <w:tab w:val="num" w:pos="1080"/>
        </w:tabs>
        <w:ind w:left="720" w:hanging="360"/>
      </w:pPr>
    </w:lvl>
    <w:lvl w:ilvl="1" w:tplc="54AA60B8">
      <w:numFmt w:val="decimal"/>
      <w:lvlText w:val=""/>
      <w:lvlJc w:val="left"/>
    </w:lvl>
    <w:lvl w:ilvl="2" w:tplc="F2B80296">
      <w:numFmt w:val="decimal"/>
      <w:lvlText w:val=""/>
      <w:lvlJc w:val="left"/>
    </w:lvl>
    <w:lvl w:ilvl="3" w:tplc="9A58B766">
      <w:numFmt w:val="decimal"/>
      <w:lvlText w:val=""/>
      <w:lvlJc w:val="left"/>
    </w:lvl>
    <w:lvl w:ilvl="4" w:tplc="5510AE38">
      <w:numFmt w:val="decimal"/>
      <w:lvlText w:val=""/>
      <w:lvlJc w:val="left"/>
    </w:lvl>
    <w:lvl w:ilvl="5" w:tplc="3F761D0C">
      <w:numFmt w:val="decimal"/>
      <w:lvlText w:val=""/>
      <w:lvlJc w:val="left"/>
    </w:lvl>
    <w:lvl w:ilvl="6" w:tplc="BFAA5406">
      <w:numFmt w:val="decimal"/>
      <w:lvlText w:val=""/>
      <w:lvlJc w:val="left"/>
    </w:lvl>
    <w:lvl w:ilvl="7" w:tplc="FA203898">
      <w:numFmt w:val="decimal"/>
      <w:lvlText w:val=""/>
      <w:lvlJc w:val="left"/>
    </w:lvl>
    <w:lvl w:ilvl="8" w:tplc="6A3CF494">
      <w:numFmt w:val="decimal"/>
      <w:lvlText w:val=""/>
      <w:lvlJc w:val="left"/>
    </w:lvl>
  </w:abstractNum>
  <w:abstractNum w:abstractNumId="2" w15:restartNumberingAfterBreak="0">
    <w:nsid w:val="2D4D1C0C"/>
    <w:multiLevelType w:val="hybridMultilevel"/>
    <w:tmpl w:val="7C02F600"/>
    <w:lvl w:ilvl="0" w:tplc="5CCED65C">
      <w:start w:val="1"/>
      <w:numFmt w:val="bullet"/>
      <w:lvlText w:val="-"/>
      <w:lvlJc w:val="left"/>
      <w:pPr>
        <w:ind w:left="360" w:hanging="360"/>
      </w:pPr>
      <w:rPr>
        <w:rFonts w:ascii="Times New Roman" w:eastAsia="Times New Roman" w:hAnsi="Times New Roman" w:cs="Times New Roman"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3B9639F6"/>
    <w:multiLevelType w:val="hybridMultilevel"/>
    <w:tmpl w:val="B1F0C0AC"/>
    <w:lvl w:ilvl="0" w:tplc="F8A0D00A">
      <w:start w:val="9"/>
      <w:numFmt w:val="decimal"/>
      <w:lvlText w:val="%1."/>
      <w:lvlJc w:val="left"/>
      <w:pPr>
        <w:tabs>
          <w:tab w:val="num" w:pos="1080"/>
        </w:tabs>
        <w:ind w:left="720" w:hanging="360"/>
      </w:pPr>
    </w:lvl>
    <w:lvl w:ilvl="1" w:tplc="8B70D198">
      <w:numFmt w:val="decimal"/>
      <w:lvlText w:val=""/>
      <w:lvlJc w:val="left"/>
    </w:lvl>
    <w:lvl w:ilvl="2" w:tplc="68B2EF48">
      <w:numFmt w:val="decimal"/>
      <w:lvlText w:val=""/>
      <w:lvlJc w:val="left"/>
    </w:lvl>
    <w:lvl w:ilvl="3" w:tplc="3C74A8B4">
      <w:numFmt w:val="decimal"/>
      <w:lvlText w:val=""/>
      <w:lvlJc w:val="left"/>
    </w:lvl>
    <w:lvl w:ilvl="4" w:tplc="9AECBDC4">
      <w:numFmt w:val="decimal"/>
      <w:lvlText w:val=""/>
      <w:lvlJc w:val="left"/>
    </w:lvl>
    <w:lvl w:ilvl="5" w:tplc="B064A0B2">
      <w:numFmt w:val="decimal"/>
      <w:lvlText w:val=""/>
      <w:lvlJc w:val="left"/>
    </w:lvl>
    <w:lvl w:ilvl="6" w:tplc="3788C390">
      <w:numFmt w:val="decimal"/>
      <w:lvlText w:val=""/>
      <w:lvlJc w:val="left"/>
    </w:lvl>
    <w:lvl w:ilvl="7" w:tplc="15666B44">
      <w:numFmt w:val="decimal"/>
      <w:lvlText w:val=""/>
      <w:lvlJc w:val="left"/>
    </w:lvl>
    <w:lvl w:ilvl="8" w:tplc="8C84047E">
      <w:numFmt w:val="decimal"/>
      <w:lvlText w:val=""/>
      <w:lvlJc w:val="left"/>
    </w:lvl>
  </w:abstractNum>
  <w:abstractNum w:abstractNumId="4" w15:restartNumberingAfterBreak="0">
    <w:nsid w:val="3C925DC5"/>
    <w:multiLevelType w:val="hybridMultilevel"/>
    <w:tmpl w:val="33F233E6"/>
    <w:lvl w:ilvl="0" w:tplc="5ACCA808">
      <w:start w:val="1"/>
      <w:numFmt w:val="decimal"/>
      <w:lvlText w:val="%1."/>
      <w:lvlJc w:val="left"/>
      <w:pPr>
        <w:tabs>
          <w:tab w:val="num" w:pos="1080"/>
        </w:tabs>
        <w:ind w:left="720" w:hanging="360"/>
      </w:pPr>
    </w:lvl>
    <w:lvl w:ilvl="1" w:tplc="C91020FC">
      <w:start w:val="1"/>
      <w:numFmt w:val="bullet"/>
      <w:lvlText w:val="o"/>
      <w:lvlJc w:val="left"/>
      <w:pPr>
        <w:tabs>
          <w:tab w:val="num" w:pos="1800"/>
        </w:tabs>
        <w:ind w:left="1440" w:hanging="360"/>
      </w:pPr>
      <w:rPr>
        <w:rFonts w:ascii="Courier New" w:hAnsi="Courier New" w:cs="Courier New" w:hint="default"/>
      </w:rPr>
    </w:lvl>
    <w:lvl w:ilvl="2" w:tplc="CC8EE496">
      <w:numFmt w:val="decimal"/>
      <w:lvlText w:val=""/>
      <w:lvlJc w:val="left"/>
    </w:lvl>
    <w:lvl w:ilvl="3" w:tplc="08589D3C">
      <w:numFmt w:val="decimal"/>
      <w:lvlText w:val=""/>
      <w:lvlJc w:val="left"/>
    </w:lvl>
    <w:lvl w:ilvl="4" w:tplc="782A545C">
      <w:numFmt w:val="decimal"/>
      <w:lvlText w:val=""/>
      <w:lvlJc w:val="left"/>
    </w:lvl>
    <w:lvl w:ilvl="5" w:tplc="AAA85FE2">
      <w:numFmt w:val="decimal"/>
      <w:lvlText w:val=""/>
      <w:lvlJc w:val="left"/>
    </w:lvl>
    <w:lvl w:ilvl="6" w:tplc="EFDA31A2">
      <w:numFmt w:val="decimal"/>
      <w:lvlText w:val=""/>
      <w:lvlJc w:val="left"/>
    </w:lvl>
    <w:lvl w:ilvl="7" w:tplc="9A761CB8">
      <w:numFmt w:val="decimal"/>
      <w:lvlText w:val=""/>
      <w:lvlJc w:val="left"/>
    </w:lvl>
    <w:lvl w:ilvl="8" w:tplc="148EEEFC">
      <w:numFmt w:val="decimal"/>
      <w:lvlText w:val=""/>
      <w:lvlJc w:val="left"/>
    </w:lvl>
  </w:abstractNum>
  <w:abstractNum w:abstractNumId="5" w15:restartNumberingAfterBreak="0">
    <w:nsid w:val="3C960098"/>
    <w:multiLevelType w:val="hybridMultilevel"/>
    <w:tmpl w:val="07942BB4"/>
    <w:lvl w:ilvl="0" w:tplc="E0049446">
      <w:start w:val="1"/>
      <w:numFmt w:val="decimal"/>
      <w:lvlText w:val="%1."/>
      <w:lvlJc w:val="left"/>
      <w:pPr>
        <w:tabs>
          <w:tab w:val="num" w:pos="1080"/>
        </w:tabs>
        <w:ind w:left="720" w:hanging="360"/>
      </w:pPr>
    </w:lvl>
    <w:lvl w:ilvl="1" w:tplc="F028B336">
      <w:numFmt w:val="decimal"/>
      <w:lvlText w:val=""/>
      <w:lvlJc w:val="left"/>
    </w:lvl>
    <w:lvl w:ilvl="2" w:tplc="8C8680A8">
      <w:numFmt w:val="decimal"/>
      <w:lvlText w:val=""/>
      <w:lvlJc w:val="left"/>
    </w:lvl>
    <w:lvl w:ilvl="3" w:tplc="21007F80">
      <w:numFmt w:val="decimal"/>
      <w:lvlText w:val=""/>
      <w:lvlJc w:val="left"/>
    </w:lvl>
    <w:lvl w:ilvl="4" w:tplc="F9B09DCE">
      <w:numFmt w:val="decimal"/>
      <w:lvlText w:val=""/>
      <w:lvlJc w:val="left"/>
    </w:lvl>
    <w:lvl w:ilvl="5" w:tplc="7272186E">
      <w:numFmt w:val="decimal"/>
      <w:lvlText w:val=""/>
      <w:lvlJc w:val="left"/>
    </w:lvl>
    <w:lvl w:ilvl="6" w:tplc="80CC8D3A">
      <w:numFmt w:val="decimal"/>
      <w:lvlText w:val=""/>
      <w:lvlJc w:val="left"/>
    </w:lvl>
    <w:lvl w:ilvl="7" w:tplc="79760322">
      <w:numFmt w:val="decimal"/>
      <w:lvlText w:val=""/>
      <w:lvlJc w:val="left"/>
    </w:lvl>
    <w:lvl w:ilvl="8" w:tplc="A1C6B44C">
      <w:numFmt w:val="decimal"/>
      <w:lvlText w:val=""/>
      <w:lvlJc w:val="left"/>
    </w:lvl>
  </w:abstractNum>
  <w:abstractNum w:abstractNumId="6" w15:restartNumberingAfterBreak="0">
    <w:nsid w:val="52F66425"/>
    <w:multiLevelType w:val="multilevel"/>
    <w:tmpl w:val="46D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31D95"/>
    <w:multiLevelType w:val="hybridMultilevel"/>
    <w:tmpl w:val="8A2E7FC0"/>
    <w:lvl w:ilvl="0" w:tplc="38090001">
      <w:start w:val="1"/>
      <w:numFmt w:val="bullet"/>
      <w:lvlText w:val=""/>
      <w:lvlJc w:val="left"/>
      <w:pPr>
        <w:ind w:left="780" w:hanging="360"/>
      </w:pPr>
      <w:rPr>
        <w:rFonts w:ascii="Symbol" w:hAnsi="Symbol"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num w:numId="1" w16cid:durableId="25260264">
    <w:abstractNumId w:val="5"/>
  </w:num>
  <w:num w:numId="2" w16cid:durableId="1702321811">
    <w:abstractNumId w:val="0"/>
  </w:num>
  <w:num w:numId="3" w16cid:durableId="1161775801">
    <w:abstractNumId w:val="3"/>
  </w:num>
  <w:num w:numId="4" w16cid:durableId="1854300378">
    <w:abstractNumId w:val="1"/>
  </w:num>
  <w:num w:numId="5" w16cid:durableId="1807241680">
    <w:abstractNumId w:val="4"/>
  </w:num>
  <w:num w:numId="6" w16cid:durableId="1218205772">
    <w:abstractNumId w:val="6"/>
  </w:num>
  <w:num w:numId="7" w16cid:durableId="2105413201">
    <w:abstractNumId w:val="7"/>
  </w:num>
  <w:num w:numId="8" w16cid:durableId="44835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OwNLU0szQ3MzExNbVU0lEKTi0uzszPAykwrgUAKbXJ8ywAAAA="/>
  </w:docVars>
  <w:rsids>
    <w:rsidRoot w:val="001F0B4A"/>
    <w:rsid w:val="0008071A"/>
    <w:rsid w:val="000C4A83"/>
    <w:rsid w:val="000E1B31"/>
    <w:rsid w:val="001453A3"/>
    <w:rsid w:val="0016276F"/>
    <w:rsid w:val="001B438D"/>
    <w:rsid w:val="001C465D"/>
    <w:rsid w:val="001E581F"/>
    <w:rsid w:val="001F0B4A"/>
    <w:rsid w:val="00226129"/>
    <w:rsid w:val="002507ED"/>
    <w:rsid w:val="002B23AF"/>
    <w:rsid w:val="002F07AF"/>
    <w:rsid w:val="0030299A"/>
    <w:rsid w:val="003177A8"/>
    <w:rsid w:val="003261E6"/>
    <w:rsid w:val="00371BE2"/>
    <w:rsid w:val="003D4082"/>
    <w:rsid w:val="004539D6"/>
    <w:rsid w:val="004C6AB5"/>
    <w:rsid w:val="004C7998"/>
    <w:rsid w:val="004F3E78"/>
    <w:rsid w:val="0054443B"/>
    <w:rsid w:val="00544BA2"/>
    <w:rsid w:val="00550304"/>
    <w:rsid w:val="00553A54"/>
    <w:rsid w:val="00567ECE"/>
    <w:rsid w:val="0059004D"/>
    <w:rsid w:val="005E6FB2"/>
    <w:rsid w:val="006203DB"/>
    <w:rsid w:val="0067233D"/>
    <w:rsid w:val="00695C73"/>
    <w:rsid w:val="006F6B3E"/>
    <w:rsid w:val="00704B6C"/>
    <w:rsid w:val="00721404"/>
    <w:rsid w:val="00790425"/>
    <w:rsid w:val="007A306A"/>
    <w:rsid w:val="007F1F03"/>
    <w:rsid w:val="0081766D"/>
    <w:rsid w:val="0086295B"/>
    <w:rsid w:val="00890D07"/>
    <w:rsid w:val="0091112E"/>
    <w:rsid w:val="009A04EA"/>
    <w:rsid w:val="009E7FD9"/>
    <w:rsid w:val="00A0138A"/>
    <w:rsid w:val="00A80EEC"/>
    <w:rsid w:val="00AD0C0D"/>
    <w:rsid w:val="00B12188"/>
    <w:rsid w:val="00B123EF"/>
    <w:rsid w:val="00B36A50"/>
    <w:rsid w:val="00B46550"/>
    <w:rsid w:val="00B825D3"/>
    <w:rsid w:val="00BA2ACC"/>
    <w:rsid w:val="00BA7040"/>
    <w:rsid w:val="00BB207B"/>
    <w:rsid w:val="00BC5271"/>
    <w:rsid w:val="00BE3C1F"/>
    <w:rsid w:val="00C120D2"/>
    <w:rsid w:val="00C601A0"/>
    <w:rsid w:val="00C603FE"/>
    <w:rsid w:val="00CA2F71"/>
    <w:rsid w:val="00CA4122"/>
    <w:rsid w:val="00DA2AE3"/>
    <w:rsid w:val="00DA5083"/>
    <w:rsid w:val="00DC6BB6"/>
    <w:rsid w:val="00E05935"/>
    <w:rsid w:val="00E23386"/>
    <w:rsid w:val="00E311E2"/>
    <w:rsid w:val="00E350F6"/>
    <w:rsid w:val="00E36EBF"/>
    <w:rsid w:val="00E46DF7"/>
    <w:rsid w:val="00E47580"/>
    <w:rsid w:val="00E513C3"/>
    <w:rsid w:val="00E73655"/>
    <w:rsid w:val="00E934EC"/>
    <w:rsid w:val="00E94D47"/>
    <w:rsid w:val="00EC18B0"/>
    <w:rsid w:val="00ED295E"/>
    <w:rsid w:val="00ED45A0"/>
    <w:rsid w:val="00F32159"/>
    <w:rsid w:val="00F66BC3"/>
    <w:rsid w:val="00FA7E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FC91"/>
  <w15:chartTrackingRefBased/>
  <w15:docId w15:val="{8A130B99-73E2-4CAD-9099-447AD12E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71A"/>
    <w:pPr>
      <w:spacing w:after="0" w:line="276" w:lineRule="auto"/>
    </w:pPr>
    <w:rPr>
      <w:rFonts w:ascii="Arial" w:eastAsia="Arial" w:hAnsi="Arial" w:cs="Arial"/>
      <w:kern w:val="0"/>
      <w:lang w:val="en" w:eastAsia="en-ID"/>
      <w14:ligatures w14:val="none"/>
    </w:rPr>
  </w:style>
  <w:style w:type="paragraph" w:styleId="Heading1">
    <w:name w:val="heading 1"/>
    <w:basedOn w:val="Normal"/>
    <w:next w:val="Normal"/>
    <w:link w:val="Heading1Char"/>
    <w:uiPriority w:val="9"/>
    <w:qFormat/>
    <w:rsid w:val="001F0B4A"/>
    <w:pPr>
      <w:keepNext/>
      <w:keepLines/>
      <w:spacing w:before="360" w:after="80"/>
      <w:outlineLvl w:val="0"/>
    </w:pPr>
    <w:rPr>
      <w:rFonts w:eastAsiaTheme="majorEastAsia" w:cstheme="majorBidi"/>
      <w:color w:val="000000" w:themeColor="text1"/>
      <w:kern w:val="2"/>
      <w:sz w:val="24"/>
      <w:szCs w:val="40"/>
      <w:lang w:val="en-ID" w:eastAsia="en-US"/>
      <w14:ligatures w14:val="standardContextual"/>
    </w:rPr>
  </w:style>
  <w:style w:type="paragraph" w:styleId="Heading2">
    <w:name w:val="heading 2"/>
    <w:basedOn w:val="Normal"/>
    <w:next w:val="Normal"/>
    <w:link w:val="Heading2Char"/>
    <w:uiPriority w:val="9"/>
    <w:semiHidden/>
    <w:unhideWhenUsed/>
    <w:qFormat/>
    <w:rsid w:val="001F0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B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B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B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B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4A"/>
    <w:rPr>
      <w:rFonts w:ascii="Arial" w:eastAsiaTheme="majorEastAsia" w:hAnsi="Arial" w:cstheme="majorBidi"/>
      <w:color w:val="000000" w:themeColor="text1"/>
      <w:sz w:val="24"/>
      <w:szCs w:val="40"/>
    </w:rPr>
  </w:style>
  <w:style w:type="character" w:customStyle="1" w:styleId="Heading2Char">
    <w:name w:val="Heading 2 Char"/>
    <w:basedOn w:val="DefaultParagraphFont"/>
    <w:link w:val="Heading2"/>
    <w:uiPriority w:val="9"/>
    <w:semiHidden/>
    <w:rsid w:val="001F0B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B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B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B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4A"/>
    <w:rPr>
      <w:rFonts w:eastAsiaTheme="majorEastAsia" w:cstheme="majorBidi"/>
      <w:color w:val="272727" w:themeColor="text1" w:themeTint="D8"/>
    </w:rPr>
  </w:style>
  <w:style w:type="paragraph" w:styleId="Title">
    <w:name w:val="Title"/>
    <w:basedOn w:val="Normal"/>
    <w:next w:val="Normal"/>
    <w:link w:val="TitleChar"/>
    <w:uiPriority w:val="10"/>
    <w:qFormat/>
    <w:rsid w:val="001F0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4A"/>
    <w:pPr>
      <w:spacing w:before="160"/>
      <w:jc w:val="center"/>
    </w:pPr>
    <w:rPr>
      <w:i/>
      <w:iCs/>
      <w:color w:val="404040" w:themeColor="text1" w:themeTint="BF"/>
    </w:rPr>
  </w:style>
  <w:style w:type="character" w:customStyle="1" w:styleId="QuoteChar">
    <w:name w:val="Quote Char"/>
    <w:basedOn w:val="DefaultParagraphFont"/>
    <w:link w:val="Quote"/>
    <w:uiPriority w:val="29"/>
    <w:rsid w:val="001F0B4A"/>
    <w:rPr>
      <w:i/>
      <w:iCs/>
      <w:color w:val="404040" w:themeColor="text1" w:themeTint="BF"/>
    </w:rPr>
  </w:style>
  <w:style w:type="paragraph" w:styleId="ListParagraph">
    <w:name w:val="List Paragraph"/>
    <w:basedOn w:val="Normal"/>
    <w:uiPriority w:val="34"/>
    <w:qFormat/>
    <w:rsid w:val="001F0B4A"/>
    <w:pPr>
      <w:ind w:left="720"/>
      <w:contextualSpacing/>
    </w:pPr>
  </w:style>
  <w:style w:type="character" w:styleId="IntenseEmphasis">
    <w:name w:val="Intense Emphasis"/>
    <w:basedOn w:val="DefaultParagraphFont"/>
    <w:uiPriority w:val="21"/>
    <w:qFormat/>
    <w:rsid w:val="001F0B4A"/>
    <w:rPr>
      <w:i/>
      <w:iCs/>
      <w:color w:val="2F5496" w:themeColor="accent1" w:themeShade="BF"/>
    </w:rPr>
  </w:style>
  <w:style w:type="paragraph" w:styleId="IntenseQuote">
    <w:name w:val="Intense Quote"/>
    <w:basedOn w:val="Normal"/>
    <w:next w:val="Normal"/>
    <w:link w:val="IntenseQuoteChar"/>
    <w:uiPriority w:val="30"/>
    <w:qFormat/>
    <w:rsid w:val="001F0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B4A"/>
    <w:rPr>
      <w:i/>
      <w:iCs/>
      <w:color w:val="2F5496" w:themeColor="accent1" w:themeShade="BF"/>
    </w:rPr>
  </w:style>
  <w:style w:type="character" w:styleId="IntenseReference">
    <w:name w:val="Intense Reference"/>
    <w:basedOn w:val="DefaultParagraphFont"/>
    <w:uiPriority w:val="32"/>
    <w:qFormat/>
    <w:rsid w:val="001F0B4A"/>
    <w:rPr>
      <w:b/>
      <w:bCs/>
      <w:smallCaps/>
      <w:color w:val="2F5496" w:themeColor="accent1" w:themeShade="BF"/>
      <w:spacing w:val="5"/>
    </w:rPr>
  </w:style>
  <w:style w:type="paragraph" w:styleId="NormalWeb">
    <w:name w:val="Normal (Web)"/>
    <w:basedOn w:val="Normal"/>
    <w:uiPriority w:val="99"/>
    <w:semiHidden/>
    <w:unhideWhenUsed/>
    <w:rsid w:val="001F0B4A"/>
    <w:rPr>
      <w:rFonts w:ascii="Times New Roman" w:hAnsi="Times New Roman" w:cs="Times New Roman"/>
      <w:sz w:val="24"/>
      <w:szCs w:val="24"/>
    </w:rPr>
  </w:style>
  <w:style w:type="table" w:styleId="TableGrid">
    <w:name w:val="Table Grid"/>
    <w:basedOn w:val="TableNormal"/>
    <w:uiPriority w:val="39"/>
    <w:rsid w:val="007A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6FB2"/>
    <w:pPr>
      <w:spacing w:after="0" w:line="240" w:lineRule="auto"/>
    </w:pPr>
    <w:rPr>
      <w:rFonts w:ascii="Arial" w:eastAsia="Arial" w:hAnsi="Arial" w:cs="Arial"/>
      <w:kern w:val="0"/>
      <w:lang w:val="en" w:eastAsia="en-ID"/>
      <w14:ligatures w14:val="none"/>
    </w:rPr>
  </w:style>
  <w:style w:type="paragraph" w:styleId="Header">
    <w:name w:val="header"/>
    <w:basedOn w:val="Normal"/>
    <w:link w:val="HeaderChar"/>
    <w:uiPriority w:val="99"/>
    <w:unhideWhenUsed/>
    <w:rsid w:val="00E94D47"/>
    <w:pPr>
      <w:tabs>
        <w:tab w:val="center" w:pos="4513"/>
        <w:tab w:val="right" w:pos="9026"/>
      </w:tabs>
      <w:spacing w:line="240" w:lineRule="auto"/>
    </w:pPr>
  </w:style>
  <w:style w:type="character" w:customStyle="1" w:styleId="HeaderChar">
    <w:name w:val="Header Char"/>
    <w:basedOn w:val="DefaultParagraphFont"/>
    <w:link w:val="Header"/>
    <w:uiPriority w:val="99"/>
    <w:rsid w:val="00E94D47"/>
    <w:rPr>
      <w:rFonts w:ascii="Arial" w:eastAsia="Arial" w:hAnsi="Arial" w:cs="Arial"/>
      <w:kern w:val="0"/>
      <w:lang w:val="en" w:eastAsia="en-ID"/>
      <w14:ligatures w14:val="none"/>
    </w:rPr>
  </w:style>
  <w:style w:type="paragraph" w:styleId="Footer">
    <w:name w:val="footer"/>
    <w:basedOn w:val="Normal"/>
    <w:link w:val="FooterChar"/>
    <w:uiPriority w:val="99"/>
    <w:unhideWhenUsed/>
    <w:rsid w:val="00E94D47"/>
    <w:pPr>
      <w:tabs>
        <w:tab w:val="center" w:pos="4513"/>
        <w:tab w:val="right" w:pos="9026"/>
      </w:tabs>
      <w:spacing w:line="240" w:lineRule="auto"/>
    </w:pPr>
  </w:style>
  <w:style w:type="character" w:customStyle="1" w:styleId="FooterChar">
    <w:name w:val="Footer Char"/>
    <w:basedOn w:val="DefaultParagraphFont"/>
    <w:link w:val="Footer"/>
    <w:uiPriority w:val="99"/>
    <w:rsid w:val="00E94D47"/>
    <w:rPr>
      <w:rFonts w:ascii="Arial" w:eastAsia="Arial" w:hAnsi="Arial" w:cs="Arial"/>
      <w:kern w:val="0"/>
      <w:lang w:val="en"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17</Pages>
  <Words>9640</Words>
  <Characters>54950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Setyo Wiratomo</dc:creator>
  <cp:keywords/>
  <dc:description/>
  <cp:lastModifiedBy>Copyeditor</cp:lastModifiedBy>
  <cp:revision>12</cp:revision>
  <dcterms:created xsi:type="dcterms:W3CDTF">2026-02-21T07:51:00Z</dcterms:created>
  <dcterms:modified xsi:type="dcterms:W3CDTF">2026-03-05T06:54:00Z</dcterms:modified>
</cp:coreProperties>
</file>